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338" w:rsidRPr="00627338" w:rsidRDefault="00627338" w:rsidP="00627338">
      <w:pPr>
        <w:spacing w:before="285" w:after="142"/>
        <w:textAlignment w:val="baseline"/>
        <w:outlineLvl w:val="0"/>
        <w:rPr>
          <w:rFonts w:ascii="inherit" w:eastAsia="Times New Roman" w:hAnsi="inherit" w:cs="Times New Roman"/>
          <w:color w:val="468173"/>
          <w:kern w:val="36"/>
          <w:sz w:val="61"/>
          <w:szCs w:val="61"/>
        </w:rPr>
      </w:pPr>
      <w:r w:rsidRPr="00627338">
        <w:rPr>
          <w:rFonts w:ascii="inherit" w:eastAsia="Times New Roman" w:hAnsi="inherit" w:cs="Times New Roman"/>
          <w:color w:val="468173"/>
          <w:kern w:val="36"/>
          <w:sz w:val="61"/>
          <w:szCs w:val="61"/>
        </w:rPr>
        <w:t>heories of Recovery in Product Liability Cases</w:t>
      </w:r>
    </w:p>
    <w:p w:rsidR="00627338" w:rsidRPr="00627338" w:rsidRDefault="00627338" w:rsidP="00627338">
      <w:pPr>
        <w:spacing w:after="360"/>
        <w:textAlignment w:val="baseline"/>
        <w:rPr>
          <w:rFonts w:ascii="Helvetica Neue" w:eastAsia="Times New Roman" w:hAnsi="Helvetica Neue" w:cs="Times New Roman"/>
          <w:color w:val="333333"/>
        </w:rPr>
      </w:pPr>
      <w:r w:rsidRPr="00627338">
        <w:rPr>
          <w:rFonts w:ascii="Helvetica Neue" w:eastAsia="Times New Roman" w:hAnsi="Helvetica Neue" w:cs="Times New Roman"/>
          <w:color w:val="333333"/>
        </w:rPr>
        <w:t>Product liability law developed out of tort law. A glance at the three primary theories of recovery in product liability cases—negligence, breach of warranty, and strict product liability—reveals a relationship between product liability and tort law. A plaintiff usually brings an action alleging as many of these three grounds as possible.</w:t>
      </w:r>
    </w:p>
    <w:p w:rsidR="00627338" w:rsidRPr="00627338" w:rsidRDefault="00627338" w:rsidP="00627338">
      <w:pPr>
        <w:spacing w:before="285" w:after="190"/>
        <w:textAlignment w:val="baseline"/>
        <w:outlineLvl w:val="0"/>
        <w:rPr>
          <w:rFonts w:ascii="inherit" w:eastAsia="Times New Roman" w:hAnsi="inherit" w:cs="Times New Roman"/>
          <w:color w:val="585858"/>
          <w:kern w:val="36"/>
          <w:sz w:val="45"/>
          <w:szCs w:val="45"/>
        </w:rPr>
      </w:pPr>
      <w:r w:rsidRPr="00627338">
        <w:rPr>
          <w:rFonts w:ascii="inherit" w:eastAsia="Times New Roman" w:hAnsi="inherit" w:cs="Times New Roman"/>
          <w:color w:val="585858"/>
          <w:kern w:val="36"/>
          <w:sz w:val="45"/>
          <w:szCs w:val="45"/>
        </w:rPr>
        <w:t>Negligence</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Plaintiffs in product liability cases have traditionally used theories of negligence. To be successful, the plaintiff must prove the elements of negligence explained in </w:t>
      </w:r>
      <w:hyperlink r:id="rId5" w:anchor="P7000499191000000000000000002655" w:history="1">
        <w:r w:rsidRPr="00627338">
          <w:rPr>
            <w:rFonts w:ascii="inherit" w:eastAsia="Times New Roman" w:hAnsi="inherit" w:cs="Times New Roman"/>
            <w:b/>
            <w:bCs/>
            <w:color w:val="1E7AB9"/>
            <w:bdr w:val="none" w:sz="0" w:space="0" w:color="auto" w:frame="1"/>
          </w:rPr>
          <w:t>Chapter 11</w:t>
        </w:r>
      </w:hyperlink>
      <w:r w:rsidRPr="00627338">
        <w:rPr>
          <w:rFonts w:ascii="inherit" w:eastAsia="Times New Roman" w:hAnsi="inherit" w:cs="Times New Roman"/>
        </w:rPr>
        <w:t>: (1) that the defendant manufacturer owed a duty of care to the plaintiff, (2) that the defendant breached that duty of care, (3) that this breach of duty caused the plaintiff’s injury, and (4) that the plaintiff suffered actual, compensable injury.</w:t>
      </w:r>
    </w:p>
    <w:p w:rsidR="00627338" w:rsidRPr="00627338" w:rsidRDefault="00627338" w:rsidP="00627338">
      <w:pPr>
        <w:spacing w:before="228" w:after="114"/>
        <w:textAlignment w:val="baseline"/>
        <w:outlineLvl w:val="0"/>
        <w:rPr>
          <w:rFonts w:ascii="inherit" w:eastAsia="Times New Roman" w:hAnsi="inherit" w:cs="Times New Roman"/>
          <w:i/>
          <w:iCs/>
          <w:color w:val="585858"/>
          <w:kern w:val="36"/>
          <w:sz w:val="38"/>
          <w:szCs w:val="38"/>
        </w:rPr>
      </w:pPr>
      <w:r w:rsidRPr="00627338">
        <w:rPr>
          <w:rFonts w:ascii="inherit" w:eastAsia="Times New Roman" w:hAnsi="inherit" w:cs="Times New Roman"/>
          <w:i/>
          <w:iCs/>
          <w:color w:val="585858"/>
          <w:kern w:val="36"/>
          <w:sz w:val="38"/>
          <w:szCs w:val="38"/>
        </w:rPr>
        <w:t>The Privity Limitation</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 </w:t>
      </w:r>
      <w:r w:rsidRPr="00627338">
        <w:rPr>
          <w:rFonts w:ascii="inherit" w:eastAsia="Times New Roman" w:hAnsi="inherit" w:cs="Times New Roman"/>
        </w:rPr>
        <w:t>An early problem with using negligence to recover for an injury caused by a defective product was establishing duty. Originally, a plaintiff who was not the purchaser of the defective product could not establish a duty of care and, thus, could not recover. This limitation was based on the concept of </w:t>
      </w:r>
      <w:r w:rsidRPr="00627338">
        <w:rPr>
          <w:rFonts w:ascii="inherit" w:eastAsia="Times New Roman" w:hAnsi="inherit" w:cs="Times New Roman"/>
          <w:i/>
          <w:iCs/>
          <w:bdr w:val="none" w:sz="0" w:space="0" w:color="auto" w:frame="1"/>
        </w:rPr>
        <w:t>privity,</w:t>
      </w:r>
      <w:r w:rsidRPr="00627338">
        <w:rPr>
          <w:rFonts w:ascii="inherit" w:eastAsia="Times New Roman" w:hAnsi="inherit" w:cs="Times New Roman"/>
        </w:rPr>
        <w:t> which means that one is a party to a contract. In the earliest known product liability case, </w:t>
      </w:r>
      <w:r w:rsidRPr="00627338">
        <w:rPr>
          <w:rFonts w:ascii="inherit" w:eastAsia="Times New Roman" w:hAnsi="inherit" w:cs="Times New Roman"/>
          <w:i/>
          <w:iCs/>
          <w:bdr w:val="none" w:sz="0" w:space="0" w:color="auto" w:frame="1"/>
        </w:rPr>
        <w:t>Winterbottom v. Wright</w:t>
      </w:r>
      <w:r w:rsidRPr="00627338">
        <w:rPr>
          <w:rFonts w:ascii="inherit" w:eastAsia="Times New Roman" w:hAnsi="inherit" w:cs="Times New Roman"/>
        </w:rPr>
        <w:t>,</w:t>
      </w:r>
      <w:hyperlink r:id="rId6" w:anchor="P7000499191000000000000000002C48" w:history="1">
        <w:r w:rsidRPr="00627338">
          <w:rPr>
            <w:rFonts w:ascii="inherit" w:eastAsia="Times New Roman" w:hAnsi="inherit" w:cs="Times New Roman"/>
            <w:b/>
            <w:bCs/>
            <w:color w:val="1E7AB9"/>
            <w:sz w:val="14"/>
            <w:szCs w:val="14"/>
            <w:u w:val="single"/>
            <w:bdr w:val="none" w:sz="0" w:space="0" w:color="auto" w:frame="1"/>
            <w:vertAlign w:val="superscript"/>
          </w:rPr>
          <w:t>4</w:t>
        </w:r>
      </w:hyperlink>
      <w:r w:rsidRPr="00627338">
        <w:rPr>
          <w:rFonts w:ascii="inherit" w:eastAsia="Times New Roman" w:hAnsi="inherit" w:cs="Times New Roman"/>
        </w:rPr>
        <w:t> the British court in 1842 established the rule that to recover for an injury caused by a defective product, the plaintiff must establish privity. In other words, before a manufacturer or seller of a defective good could owe a duty to the plaintiff, the plaintiff must have purchased that good directly from the defendant who manufactured it. Because plaintiffs rarely purchase goods from the manufacturer, few such suits were initially brought.</w:t>
      </w:r>
    </w:p>
    <w:p w:rsidR="00627338" w:rsidRPr="00627338" w:rsidRDefault="00627338" w:rsidP="00627338">
      <w:pPr>
        <w:textAlignment w:val="baseline"/>
        <w:rPr>
          <w:rFonts w:ascii="inherit" w:eastAsia="Times New Roman" w:hAnsi="inherit" w:cs="Times New Roman"/>
        </w:rPr>
      </w:pPr>
      <w:hyperlink r:id="rId7" w:anchor="r__P7000499191000000000000000002C48" w:history="1">
        <w:r w:rsidRPr="00627338">
          <w:rPr>
            <w:rFonts w:ascii="inherit" w:eastAsia="Times New Roman" w:hAnsi="inherit" w:cs="Times New Roman"/>
            <w:b/>
            <w:bCs/>
            <w:color w:val="1E7AB9"/>
            <w:u w:val="single"/>
            <w:bdr w:val="none" w:sz="0" w:space="0" w:color="auto" w:frame="1"/>
          </w:rPr>
          <w:t>4</w:t>
        </w:r>
        <w:r w:rsidRPr="00627338">
          <w:rPr>
            <w:rFonts w:ascii="inherit" w:eastAsia="Times New Roman" w:hAnsi="inherit" w:cs="Times New Roman"/>
            <w:b/>
            <w:bCs/>
            <w:color w:val="1E7AB9"/>
            <w:bdr w:val="none" w:sz="0" w:space="0" w:color="auto" w:frame="1"/>
          </w:rPr>
          <w:t> </w:t>
        </w:r>
      </w:hyperlink>
      <w:r w:rsidRPr="00627338">
        <w:rPr>
          <w:rFonts w:ascii="inherit" w:eastAsia="Times New Roman" w:hAnsi="inherit" w:cs="Times New Roman"/>
        </w:rPr>
        <w:t>152 Eng. Rep. 402 (1842).</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Gradually, especially in cases of defective food, courts began to eliminate the privity requirement, essentially abolishing it in the 1916 case of </w:t>
      </w:r>
      <w:r w:rsidRPr="00627338">
        <w:rPr>
          <w:rFonts w:ascii="inherit" w:eastAsia="Times New Roman" w:hAnsi="inherit" w:cs="Times New Roman"/>
          <w:i/>
          <w:iCs/>
          <w:bdr w:val="none" w:sz="0" w:space="0" w:color="auto" w:frame="1"/>
        </w:rPr>
        <w:t>MacPherson v. Buick Motor Co</w:t>
      </w:r>
      <w:r w:rsidRPr="00627338">
        <w:rPr>
          <w:rFonts w:ascii="inherit" w:eastAsia="Times New Roman" w:hAnsi="inherit" w:cs="Times New Roman"/>
        </w:rPr>
        <w:t>.</w:t>
      </w:r>
      <w:hyperlink r:id="rId8" w:anchor="P7000499191000000000000000002C4A" w:history="1">
        <w:r w:rsidRPr="00627338">
          <w:rPr>
            <w:rFonts w:ascii="inherit" w:eastAsia="Times New Roman" w:hAnsi="inherit" w:cs="Times New Roman"/>
            <w:b/>
            <w:bCs/>
            <w:color w:val="1E7AB9"/>
            <w:sz w:val="14"/>
            <w:szCs w:val="14"/>
            <w:u w:val="single"/>
            <w:bdr w:val="none" w:sz="0" w:space="0" w:color="auto" w:frame="1"/>
            <w:vertAlign w:val="superscript"/>
          </w:rPr>
          <w:t>5</w:t>
        </w:r>
      </w:hyperlink>
      <w:r w:rsidRPr="00627338">
        <w:rPr>
          <w:rFonts w:ascii="inherit" w:eastAsia="Times New Roman" w:hAnsi="inherit" w:cs="Times New Roman"/>
        </w:rPr>
        <w:t> In </w:t>
      </w:r>
      <w:r w:rsidRPr="00627338">
        <w:rPr>
          <w:rFonts w:ascii="inherit" w:eastAsia="Times New Roman" w:hAnsi="inherit" w:cs="Times New Roman"/>
          <w:i/>
          <w:iCs/>
          <w:bdr w:val="none" w:sz="0" w:space="0" w:color="auto" w:frame="1"/>
        </w:rPr>
        <w:t>MacPherson,</w:t>
      </w:r>
      <w:r w:rsidRPr="00627338">
        <w:rPr>
          <w:rFonts w:ascii="inherit" w:eastAsia="Times New Roman" w:hAnsi="inherit" w:cs="Times New Roman"/>
        </w:rPr>
        <w:t> the court held the remote manufacturer of an automobile with a defective wheel liable to the plaintiff when the wheel broke and the plaintiff was injured. Judge Cardozo stated that the presence of a sale does not control the duty; if the elements of a product are such that it is harmful to individuals if negligently made, and if the manufacturer knows that the product will be used by someone other than the purchaser, then “irrespective of contract, the manufacturer of this thing is under a duty to make it carefully.” The holding in the </w:t>
      </w:r>
      <w:r w:rsidRPr="00627338">
        <w:rPr>
          <w:rFonts w:ascii="inherit" w:eastAsia="Times New Roman" w:hAnsi="inherit" w:cs="Times New Roman"/>
          <w:i/>
          <w:iCs/>
          <w:bdr w:val="none" w:sz="0" w:space="0" w:color="auto" w:frame="1"/>
        </w:rPr>
        <w:t>MacPherson</w:t>
      </w:r>
      <w:r w:rsidRPr="00627338">
        <w:rPr>
          <w:rFonts w:ascii="inherit" w:eastAsia="Times New Roman" w:hAnsi="inherit" w:cs="Times New Roman"/>
        </w:rPr>
        <w:t> case, which was quickly followed by similar holdings in other states, eliminated the privity requirement, thereby allowing a negligent manufacturer to be held responsible for a defective product that caused injuries to someone with whom the defendant manufacturer had no contract.</w:t>
      </w:r>
    </w:p>
    <w:p w:rsidR="00627338" w:rsidRPr="00627338" w:rsidRDefault="00627338" w:rsidP="00627338">
      <w:pPr>
        <w:textAlignment w:val="baseline"/>
        <w:rPr>
          <w:rFonts w:ascii="inherit" w:eastAsia="Times New Roman" w:hAnsi="inherit" w:cs="Times New Roman"/>
        </w:rPr>
      </w:pPr>
      <w:hyperlink r:id="rId9" w:anchor="r__P7000499191000000000000000002C4A" w:history="1">
        <w:r w:rsidRPr="00627338">
          <w:rPr>
            <w:rFonts w:ascii="inherit" w:eastAsia="Times New Roman" w:hAnsi="inherit" w:cs="Times New Roman"/>
            <w:b/>
            <w:bCs/>
            <w:color w:val="1E7AB9"/>
            <w:u w:val="single"/>
            <w:bdr w:val="none" w:sz="0" w:space="0" w:color="auto" w:frame="1"/>
          </w:rPr>
          <w:t>5</w:t>
        </w:r>
        <w:r w:rsidRPr="00627338">
          <w:rPr>
            <w:rFonts w:ascii="inherit" w:eastAsia="Times New Roman" w:hAnsi="inherit" w:cs="Times New Roman"/>
            <w:b/>
            <w:bCs/>
            <w:color w:val="1E7AB9"/>
            <w:bdr w:val="none" w:sz="0" w:space="0" w:color="auto" w:frame="1"/>
          </w:rPr>
          <w:t> </w:t>
        </w:r>
      </w:hyperlink>
      <w:r w:rsidRPr="00627338">
        <w:rPr>
          <w:rFonts w:ascii="inherit" w:eastAsia="Times New Roman" w:hAnsi="inherit" w:cs="Times New Roman"/>
        </w:rPr>
        <w:t>217 N.Y. 382, 111 N.E. 1050 (1916).</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Eradication of the privity requirement and the subsequent increase in the liability of producers and sellers reflected a shift in social policy toward placing responsibility for injuries on those who market a product that could foreseeably cause harm if proper care were not taken in its design, manufacture, and labeling. Increasingly, the courts indicated that defendants should be responsible for their affirmative acts when they knew that such actions could cause harm to others. Also, because the manufacturer and seller derive economic benefits from the sale and use of the product, it seemed fair to impose liability on them if they earned profits from a defectively made product.</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Thus, abolition of the privity limitation opened the door for negligence as a theory of liability when people were injured because of a product manufacturer’s or seller’s lack of care. A number of negligent acts or omissions typically give rise to negligence-based product liability actions; these are listed in </w:t>
      </w:r>
      <w:hyperlink r:id="rId10" w:anchor="P7000499191000000000000000002A27" w:history="1">
        <w:r w:rsidRPr="00627338">
          <w:rPr>
            <w:rFonts w:ascii="inherit" w:eastAsia="Times New Roman" w:hAnsi="inherit" w:cs="Times New Roman"/>
            <w:b/>
            <w:bCs/>
            <w:color w:val="1E7AB9"/>
            <w:bdr w:val="none" w:sz="0" w:space="0" w:color="auto" w:frame="1"/>
          </w:rPr>
          <w:t>Exhibit 12-1</w:t>
        </w:r>
      </w:hyperlink>
      <w:r w:rsidRPr="00627338">
        <w:rPr>
          <w:rFonts w:ascii="inherit" w:eastAsia="Times New Roman" w:hAnsi="inherit" w:cs="Times New Roman"/>
        </w:rPr>
        <w:t>. We will discuss the most common ones: negligent failure to warn and negligent design.</w:t>
      </w:r>
    </w:p>
    <w:p w:rsidR="00627338" w:rsidRPr="00627338" w:rsidRDefault="00627338" w:rsidP="00627338">
      <w:pPr>
        <w:spacing w:before="228" w:after="114"/>
        <w:textAlignment w:val="baseline"/>
        <w:outlineLvl w:val="0"/>
        <w:rPr>
          <w:rFonts w:ascii="inherit" w:eastAsia="Times New Roman" w:hAnsi="inherit" w:cs="Times New Roman"/>
          <w:i/>
          <w:iCs/>
          <w:color w:val="585858"/>
          <w:kern w:val="36"/>
          <w:sz w:val="38"/>
          <w:szCs w:val="38"/>
        </w:rPr>
      </w:pPr>
      <w:r w:rsidRPr="00627338">
        <w:rPr>
          <w:rFonts w:ascii="inherit" w:eastAsia="Times New Roman" w:hAnsi="inherit" w:cs="Times New Roman"/>
          <w:i/>
          <w:iCs/>
          <w:color w:val="585858"/>
          <w:kern w:val="36"/>
          <w:sz w:val="38"/>
          <w:szCs w:val="38"/>
        </w:rPr>
        <w:t>Negligent Failure to Warn</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 </w:t>
      </w:r>
      <w:r w:rsidRPr="00627338">
        <w:rPr>
          <w:rFonts w:ascii="inherit" w:eastAsia="Times New Roman" w:hAnsi="inherit" w:cs="Times New Roman"/>
        </w:rPr>
        <w:t>Most of the negligence-based product liability actions result from a failure to warn or inadequate warning. To bring a successful negligence case for failure to warn, the plaintiff must demonstrate that the defendant knew or should have known that, without a warning, the product would be dangerous in its ordinary use or in any reasonably foreseeable use. In determining whether a reasonable manufacturer would have given a warning in a particular situation, the courts frequently consider the likelihood of the injury, the seriousness of the injury, and the ease of warning.</w:t>
      </w:r>
    </w:p>
    <w:p w:rsidR="00627338" w:rsidRPr="00627338" w:rsidRDefault="00627338" w:rsidP="00627338">
      <w:pPr>
        <w:rPr>
          <w:rFonts w:ascii="Times New Roman" w:eastAsia="Times New Roman" w:hAnsi="Times New Roman" w:cs="Times New Roman"/>
        </w:rPr>
      </w:pPr>
      <w:r w:rsidRPr="00627338">
        <w:rPr>
          <w:rFonts w:ascii="Times New Roman" w:eastAsia="Times New Roman" w:hAnsi="Times New Roman" w:cs="Times New Roman"/>
        </w:rPr>
        <w:fldChar w:fldCharType="begin"/>
      </w:r>
      <w:r w:rsidRPr="00627338">
        <w:rPr>
          <w:rFonts w:ascii="Times New Roman" w:eastAsia="Times New Roman" w:hAnsi="Times New Roman" w:cs="Times New Roman"/>
        </w:rPr>
        <w:instrText xml:space="preserve"> INCLUDEPICTURE "/var/folders/92/ngx3jzzn1l9235qg2g9hmbzr0000gn/T/com.microsoft.Word/WebArchiveCopyPasteTempFiles/Exhibit_12.1.png" \* MERGEFORMATINET </w:instrText>
      </w:r>
      <w:r w:rsidRPr="00627338">
        <w:rPr>
          <w:rFonts w:ascii="Times New Roman" w:eastAsia="Times New Roman" w:hAnsi="Times New Roman" w:cs="Times New Roman"/>
        </w:rPr>
        <w:fldChar w:fldCharType="separate"/>
      </w:r>
      <w:r w:rsidRPr="00627338">
        <w:rPr>
          <w:rFonts w:ascii="Times New Roman" w:eastAsia="Times New Roman" w:hAnsi="Times New Roman" w:cs="Times New Roman"/>
          <w:noProof/>
        </w:rPr>
        <w:drawing>
          <wp:inline distT="0" distB="0" distL="0" distR="0">
            <wp:extent cx="5943600" cy="1649095"/>
            <wp:effectExtent l="0" t="0" r="0" b="1905"/>
            <wp:docPr id="5" name="Picture 5" descr="/var/folders/92/ngx3jzzn1l9235qg2g9hmbzr0000gn/T/com.microsoft.Word/WebArchiveCopyPasteTempFiles/Exhibit_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919100000000000000000ECD7" descr="/var/folders/92/ngx3jzzn1l9235qg2g9hmbzr0000gn/T/com.microsoft.Word/WebArchiveCopyPasteTempFiles/Exhibit_12.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649095"/>
                    </a:xfrm>
                    <a:prstGeom prst="rect">
                      <a:avLst/>
                    </a:prstGeom>
                    <a:noFill/>
                    <a:ln>
                      <a:noFill/>
                    </a:ln>
                  </pic:spPr>
                </pic:pic>
              </a:graphicData>
            </a:graphic>
          </wp:inline>
        </w:drawing>
      </w:r>
      <w:r w:rsidRPr="00627338">
        <w:rPr>
          <w:rFonts w:ascii="Times New Roman" w:eastAsia="Times New Roman" w:hAnsi="Times New Roman" w:cs="Times New Roman"/>
        </w:rPr>
        <w:fldChar w:fldCharType="end"/>
      </w:r>
    </w:p>
    <w:p w:rsidR="00627338" w:rsidRPr="00627338" w:rsidRDefault="00627338" w:rsidP="00627338">
      <w:pPr>
        <w:textAlignment w:val="baseline"/>
        <w:outlineLvl w:val="0"/>
        <w:rPr>
          <w:rFonts w:ascii="inherit" w:eastAsia="Times New Roman" w:hAnsi="inherit" w:cs="Times New Roman"/>
          <w:b/>
          <w:bCs/>
          <w:color w:val="585858"/>
          <w:kern w:val="36"/>
        </w:rPr>
      </w:pPr>
      <w:r w:rsidRPr="00627338">
        <w:rPr>
          <w:rFonts w:ascii="inherit" w:eastAsia="Times New Roman" w:hAnsi="inherit" w:cs="Times New Roman"/>
          <w:b/>
          <w:bCs/>
          <w:color w:val="585858"/>
          <w:kern w:val="36"/>
        </w:rPr>
        <w:t>Exhibit 12-1 Common Negligent Actions Leading To Product Liability Cases</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There is generally no duty to warn of dangers arising from unforeseeable misuses of a product or from obvious dangers. A producer, for example, need not give a warning that a sharp knife could cut someone. Similarly, some plaintiffs have argued that fast-food restaurants, like McDonald’s, are liable to consumers for consumers’ obesity-related health problems, because the restaurants failed to warn customers of the unhealthful attributes of fast food. In </w:t>
      </w:r>
      <w:r w:rsidRPr="00627338">
        <w:rPr>
          <w:rFonts w:ascii="inherit" w:eastAsia="Times New Roman" w:hAnsi="inherit" w:cs="Times New Roman"/>
          <w:i/>
          <w:iCs/>
          <w:bdr w:val="none" w:sz="0" w:space="0" w:color="auto" w:frame="1"/>
        </w:rPr>
        <w:t>Pelman v. McDonald’s,</w:t>
      </w:r>
      <w:r w:rsidRPr="00627338">
        <w:rPr>
          <w:rFonts w:ascii="inherit" w:eastAsia="Times New Roman" w:hAnsi="inherit" w:cs="Times New Roman"/>
        </w:rPr>
        <w:t> the plaintiff alleged that McDonald’s failed to warn customers of the “ingredients, quantity, qualities and levels of cholesterol, fat, salt and sugar content and other ingredients in those products, and that a diet high in fat, salt, sugar and cholesterol could lead to obesity and health problems.”</w:t>
      </w:r>
      <w:hyperlink r:id="rId12" w:anchor="P7000499191000000000000000002C4C" w:history="1">
        <w:r w:rsidRPr="00627338">
          <w:rPr>
            <w:rFonts w:ascii="inherit" w:eastAsia="Times New Roman" w:hAnsi="inherit" w:cs="Times New Roman"/>
            <w:b/>
            <w:bCs/>
            <w:color w:val="1E7AB9"/>
            <w:sz w:val="14"/>
            <w:szCs w:val="14"/>
            <w:u w:val="single"/>
            <w:bdr w:val="none" w:sz="0" w:space="0" w:color="auto" w:frame="1"/>
            <w:vertAlign w:val="superscript"/>
          </w:rPr>
          <w:t>6</w:t>
        </w:r>
      </w:hyperlink>
      <w:r w:rsidRPr="00627338">
        <w:rPr>
          <w:rFonts w:ascii="inherit" w:eastAsia="Times New Roman" w:hAnsi="inherit" w:cs="Times New Roman"/>
        </w:rPr>
        <w:t xml:space="preserve"> In his decision dismissing the </w:t>
      </w:r>
      <w:r w:rsidRPr="00627338">
        <w:rPr>
          <w:rFonts w:ascii="inherit" w:eastAsia="Times New Roman" w:hAnsi="inherit" w:cs="Times New Roman"/>
        </w:rPr>
        <w:lastRenderedPageBreak/>
        <w:t>plaintiff’s claims against McDonald’s, Judge Sweet specifically stated that “this opinion is guided by the principle that legal consequences should not attach to the consumption of hamburgers and other fast food fare unless consumers are unaware of the dangers of eating such food.”</w:t>
      </w:r>
      <w:hyperlink r:id="rId13" w:anchor="P7000499191000000000000000002C66" w:history="1">
        <w:r w:rsidRPr="00627338">
          <w:rPr>
            <w:rFonts w:ascii="inherit" w:eastAsia="Times New Roman" w:hAnsi="inherit" w:cs="Times New Roman"/>
            <w:b/>
            <w:bCs/>
            <w:color w:val="1E7AB9"/>
            <w:sz w:val="12"/>
            <w:szCs w:val="12"/>
            <w:u w:val="single"/>
            <w:bdr w:val="none" w:sz="0" w:space="0" w:color="auto" w:frame="1"/>
            <w:vertAlign w:val="superscript"/>
          </w:rPr>
          <w:t>*</w:t>
        </w:r>
      </w:hyperlink>
      <w:r w:rsidRPr="00627338">
        <w:rPr>
          <w:rFonts w:ascii="inherit" w:eastAsia="Times New Roman" w:hAnsi="inherit" w:cs="Times New Roman"/>
        </w:rPr>
        <w:t>Because consumers know, or reasonably should know, the potential negative health effects of eating fast food, the plaintiff’s claim was dismissed. But if future plaintiffs can allege that McDonald’s food is dangerous in a manner not known to consumers, their claims may survive.</w:t>
      </w:r>
    </w:p>
    <w:p w:rsidR="00627338" w:rsidRPr="00627338" w:rsidRDefault="00627338" w:rsidP="00627338">
      <w:pPr>
        <w:textAlignment w:val="baseline"/>
        <w:rPr>
          <w:rFonts w:ascii="inherit" w:eastAsia="Times New Roman" w:hAnsi="inherit" w:cs="Times New Roman"/>
        </w:rPr>
      </w:pPr>
      <w:hyperlink r:id="rId14" w:anchor="r__P7000499191000000000000000002C4C" w:history="1">
        <w:r w:rsidRPr="00627338">
          <w:rPr>
            <w:rFonts w:ascii="inherit" w:eastAsia="Times New Roman" w:hAnsi="inherit" w:cs="Times New Roman"/>
            <w:b/>
            <w:bCs/>
            <w:color w:val="1E7AB9"/>
            <w:u w:val="single"/>
            <w:bdr w:val="none" w:sz="0" w:space="0" w:color="auto" w:frame="1"/>
          </w:rPr>
          <w:t>6</w:t>
        </w:r>
        <w:r w:rsidRPr="00627338">
          <w:rPr>
            <w:rFonts w:ascii="inherit" w:eastAsia="Times New Roman" w:hAnsi="inherit" w:cs="Times New Roman"/>
            <w:b/>
            <w:bCs/>
            <w:color w:val="1E7AB9"/>
            <w:bdr w:val="none" w:sz="0" w:space="0" w:color="auto" w:frame="1"/>
          </w:rPr>
          <w:t> </w:t>
        </w:r>
      </w:hyperlink>
      <w:r w:rsidRPr="00627338">
        <w:rPr>
          <w:rFonts w:ascii="inherit" w:eastAsia="Times New Roman" w:hAnsi="inherit" w:cs="Times New Roman"/>
        </w:rPr>
        <w:t>237 F. Supp. 2d 512 (S.D.N.Y. 2003).</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A defendant may give a warning in a manner not clearly calculated to reach those whom the defendant should expect to use the product. If the product is to be used by someone other than the original purchaser, the manufacturer is generally required to put some sort of warning on the product itself, not just in a manual that comes with the product. If children or those who are illiterate are likely to come into contact with the product and risk harm from its use, picture warnings may be required.</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Products designed for intimate bodily use, especially drugs and cosmetics, often give rise to actions based on negligent failure to warn because the use of these products frequently causes adverse reactions. When a toxic or allergic reaction causes harm to the user of a cosmetic or an over-the-counter drug, many courts find that there is no duty to warn unless the plaintiff proves that (1) the product contained an ingredient to which an appreciable number of people would have an adverse reaction; (2) the defendant knew or should have known, in the exercise of ordinary care, that this was so; and (3) the plaintiff’s reaction was due to his or her membership in this abnormal group.</w:t>
      </w:r>
      <w:hyperlink r:id="rId15" w:anchor="P7000499191000000000000000002C4E" w:history="1">
        <w:r w:rsidRPr="00627338">
          <w:rPr>
            <w:rFonts w:ascii="inherit" w:eastAsia="Times New Roman" w:hAnsi="inherit" w:cs="Times New Roman"/>
            <w:b/>
            <w:bCs/>
            <w:color w:val="1E7AB9"/>
            <w:sz w:val="14"/>
            <w:szCs w:val="14"/>
            <w:u w:val="single"/>
            <w:bdr w:val="none" w:sz="0" w:space="0" w:color="auto" w:frame="1"/>
            <w:vertAlign w:val="superscript"/>
          </w:rPr>
          <w:t>7</w:t>
        </w:r>
      </w:hyperlink>
    </w:p>
    <w:p w:rsidR="00627338" w:rsidRPr="00627338" w:rsidRDefault="00627338" w:rsidP="00627338">
      <w:pPr>
        <w:textAlignment w:val="baseline"/>
        <w:rPr>
          <w:rFonts w:ascii="inherit" w:eastAsia="Times New Roman" w:hAnsi="inherit" w:cs="Times New Roman"/>
        </w:rPr>
      </w:pPr>
      <w:hyperlink r:id="rId16" w:anchor="r__P7000499191000000000000000002C4E" w:history="1">
        <w:r w:rsidRPr="00627338">
          <w:rPr>
            <w:rFonts w:ascii="inherit" w:eastAsia="Times New Roman" w:hAnsi="inherit" w:cs="Times New Roman"/>
            <w:b/>
            <w:bCs/>
            <w:color w:val="1E7AB9"/>
            <w:u w:val="single"/>
            <w:bdr w:val="none" w:sz="0" w:space="0" w:color="auto" w:frame="1"/>
          </w:rPr>
          <w:t>7</w:t>
        </w:r>
        <w:r w:rsidRPr="00627338">
          <w:rPr>
            <w:rFonts w:ascii="inherit" w:eastAsia="Times New Roman" w:hAnsi="inherit" w:cs="Times New Roman"/>
            <w:b/>
            <w:bCs/>
            <w:color w:val="1E7AB9"/>
            <w:bdr w:val="none" w:sz="0" w:space="0" w:color="auto" w:frame="1"/>
          </w:rPr>
          <w:t> </w:t>
        </w:r>
      </w:hyperlink>
      <w:r w:rsidRPr="00627338">
        <w:rPr>
          <w:rFonts w:ascii="inherit" w:eastAsia="Times New Roman" w:hAnsi="inherit" w:cs="Times New Roman"/>
        </w:rPr>
        <w:t>W. Page et al., </w:t>
      </w:r>
      <w:r w:rsidRPr="00627338">
        <w:rPr>
          <w:rFonts w:ascii="inherit" w:eastAsia="Times New Roman" w:hAnsi="inherit" w:cs="Times New Roman"/>
          <w:i/>
          <w:iCs/>
          <w:bdr w:val="none" w:sz="0" w:space="0" w:color="auto" w:frame="1"/>
        </w:rPr>
        <w:t>Prosser and Keeton on Torts</w:t>
      </w:r>
      <w:r w:rsidRPr="00627338">
        <w:rPr>
          <w:rFonts w:ascii="inherit" w:eastAsia="Times New Roman" w:hAnsi="inherit" w:cs="Times New Roman"/>
        </w:rPr>
        <w:t> (5th ed.) (St. Paul, MN: West, 1984), 687.</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Other courts, however, determine negligence by looking at the particular circumstances of the case and by weighing the amount of danger to be avoided against the ease of warning. For example, in a 1995 case against McNeil Consumer Products Company, a jury awarded more than $8.8 million to a man who suffered permanent liver damage as a result of drinking a glass of wine with a Tylenol capsule. Although the corporation had known for years that combining a normal dose of Tylenol with a small amount of wine could cause massive liver damage in some people, the company failed to put a warning to that effect on the label. The jury did not accept the company’s argument that the reaction was so rare that no warning was necessary.</w:t>
      </w:r>
      <w:hyperlink r:id="rId17" w:anchor="P7000499191000000000000000002C50" w:history="1">
        <w:r w:rsidRPr="00627338">
          <w:rPr>
            <w:rFonts w:ascii="inherit" w:eastAsia="Times New Roman" w:hAnsi="inherit" w:cs="Times New Roman"/>
            <w:b/>
            <w:bCs/>
            <w:color w:val="1E7AB9"/>
            <w:sz w:val="14"/>
            <w:szCs w:val="14"/>
            <w:u w:val="single"/>
            <w:bdr w:val="none" w:sz="0" w:space="0" w:color="auto" w:frame="1"/>
            <w:vertAlign w:val="superscript"/>
          </w:rPr>
          <w:t>8</w:t>
        </w:r>
      </w:hyperlink>
    </w:p>
    <w:p w:rsidR="00627338" w:rsidRPr="00627338" w:rsidRDefault="00627338" w:rsidP="00627338">
      <w:pPr>
        <w:textAlignment w:val="baseline"/>
        <w:rPr>
          <w:rFonts w:ascii="inherit" w:eastAsia="Times New Roman" w:hAnsi="inherit" w:cs="Times New Roman"/>
        </w:rPr>
      </w:pPr>
      <w:hyperlink r:id="rId18" w:anchor="r__P7000499191000000000000000002C50" w:history="1">
        <w:r w:rsidRPr="00627338">
          <w:rPr>
            <w:rFonts w:ascii="inherit" w:eastAsia="Times New Roman" w:hAnsi="inherit" w:cs="Times New Roman"/>
            <w:b/>
            <w:bCs/>
            <w:color w:val="1E7AB9"/>
            <w:u w:val="single"/>
            <w:bdr w:val="none" w:sz="0" w:space="0" w:color="auto" w:frame="1"/>
          </w:rPr>
          <w:t>8</w:t>
        </w:r>
        <w:r w:rsidRPr="00627338">
          <w:rPr>
            <w:rFonts w:ascii="inherit" w:eastAsia="Times New Roman" w:hAnsi="inherit" w:cs="Times New Roman"/>
            <w:b/>
            <w:bCs/>
            <w:color w:val="1E7AB9"/>
            <w:bdr w:val="none" w:sz="0" w:space="0" w:color="auto" w:frame="1"/>
          </w:rPr>
          <w:t> </w:t>
        </w:r>
      </w:hyperlink>
      <w:r w:rsidRPr="00627338">
        <w:rPr>
          <w:rFonts w:ascii="inherit" w:eastAsia="Times New Roman" w:hAnsi="inherit" w:cs="Times New Roman"/>
          <w:i/>
          <w:iCs/>
          <w:bdr w:val="none" w:sz="0" w:space="0" w:color="auto" w:frame="1"/>
        </w:rPr>
        <w:t>Benedict v. McNeil Consumer Products Co.,</w:t>
      </w:r>
      <w:r w:rsidRPr="00627338">
        <w:rPr>
          <w:rFonts w:ascii="inherit" w:eastAsia="Times New Roman" w:hAnsi="inherit" w:cs="Times New Roman"/>
        </w:rPr>
        <w:t> 1992 WL 729052 (L.R.P. Jury).</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Marketing of prescription drugs is unique because the manufacturer almost never communicates directly with the user; instead, it communicates with the physician who prescribes the drug. In these cases, the courts generally hold that drug manufacturers have a duty to provide adequate warnings to physicians to enable them to decide whether to prescribe the drug or disclose the risk to the patient. The manufacturer must warn the physician of any chance of a serious adverse reaction, no matter how small. Prescription drugs are frequently the subject of product liability cases, as described in </w:t>
      </w:r>
      <w:hyperlink r:id="rId19" w:anchor="P7000499191000000000000000002A32" w:history="1">
        <w:r w:rsidRPr="00627338">
          <w:rPr>
            <w:rFonts w:ascii="inherit" w:eastAsia="Times New Roman" w:hAnsi="inherit" w:cs="Times New Roman"/>
            <w:b/>
            <w:bCs/>
            <w:color w:val="1E7AB9"/>
            <w:bdr w:val="none" w:sz="0" w:space="0" w:color="auto" w:frame="1"/>
          </w:rPr>
          <w:t>Exhibit 12-2</w:t>
        </w:r>
      </w:hyperlink>
      <w:r w:rsidRPr="00627338">
        <w:rPr>
          <w:rFonts w:ascii="inherit" w:eastAsia="Times New Roman" w:hAnsi="inherit" w:cs="Times New Roman"/>
        </w:rPr>
        <w:t>.</w:t>
      </w:r>
    </w:p>
    <w:tbl>
      <w:tblPr>
        <w:tblW w:w="1198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3468"/>
        <w:gridCol w:w="8517"/>
      </w:tblGrid>
      <w:tr w:rsidR="00627338" w:rsidRPr="00627338" w:rsidTr="00627338">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b/>
                <w:bCs/>
                <w:color w:val="468173"/>
                <w:sz w:val="21"/>
                <w:szCs w:val="21"/>
              </w:rPr>
            </w:pPr>
            <w:r w:rsidRPr="00627338">
              <w:rPr>
                <w:rFonts w:ascii="inherit" w:eastAsia="Times New Roman" w:hAnsi="inherit" w:cs="Times New Roman"/>
                <w:b/>
                <w:bCs/>
                <w:color w:val="468173"/>
                <w:sz w:val="21"/>
                <w:szCs w:val="21"/>
              </w:rPr>
              <w:lastRenderedPageBreak/>
              <w:t>Product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b/>
                <w:bCs/>
                <w:color w:val="468173"/>
                <w:sz w:val="21"/>
                <w:szCs w:val="21"/>
              </w:rPr>
            </w:pPr>
            <w:r w:rsidRPr="00627338">
              <w:rPr>
                <w:rFonts w:ascii="inherit" w:eastAsia="Times New Roman" w:hAnsi="inherit" w:cs="Times New Roman"/>
                <w:b/>
                <w:bCs/>
                <w:color w:val="468173"/>
                <w:sz w:val="21"/>
                <w:szCs w:val="21"/>
              </w:rPr>
              <w:t>Case Status and Legal Claims</w:t>
            </w:r>
          </w:p>
        </w:tc>
      </w:tr>
      <w:tr w:rsidR="00627338" w:rsidRPr="00627338" w:rsidTr="00627338">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Avandia (prescription drug used to control blood sugar in Type II diabetics)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In May 2007, the New England Journal of Medicine released a study linking Avandia to a greatly increased risk of heart attack or heart-related death. The Food and Drug Administration (FDA) put out a safety alert and more research is being done on the safety of Avandia. The first law-suit as a result of this new information was filed in June 2007 and experts expect more to follow. As of May 2010, Avandia manufacturers made a $60 million settlement to end approximately 700 lawsuits; however,this was only the first settlement Avandia manufacturers are expected to make in regard to the drug's side effects.</w:t>
            </w:r>
          </w:p>
        </w:tc>
      </w:tr>
      <w:tr w:rsidR="00627338" w:rsidRPr="00627338" w:rsidTr="00627338">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Baycol (prescription drug to lower cholesterol)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Plaintiffs reportedly experienced rhabdomyolysis, a kidney disorder in which toxic muscle cells are released into the bloodstream. Patients can then develop fatal organ failure. Plaintiffs frequently bring claims of failure to warn or for a defectively designed drug. The manufacturer voluntarily removed Baycol from the market because of the legal claims it had spawned. As of January 2007, the court status update estimated that there were approximately 1,200 active cases. The status update also indicated that the manufacturer, Bayer, has settled 3,000-plus cases for more than $1.1 billion.</w:t>
            </w:r>
          </w:p>
        </w:tc>
      </w:tr>
      <w:tr w:rsidR="00627338" w:rsidRPr="00627338" w:rsidTr="00627338">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Fen-Phen (Redux) (drug to treat obesity)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Some patients experienced heart-valve disease after using Fen-Phen to lose weight. In January 2004, a $3.75 billion trust was created as a settlement between patients and the drug manufacturer, American Home Products, to compensate patients injured by Fen-Phen use. Under the settlement agreement,eligible patients may be entitled to compensation, diet drug prescription refunds, and echocardiography screenings.</w:t>
            </w:r>
          </w:p>
        </w:tc>
      </w:tr>
      <w:tr w:rsidR="00627338" w:rsidRPr="00627338" w:rsidTr="00627338">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Paxil (antidepressant) (similar claims have been brought regarding Zoloft, another antidepressant)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 xml:space="preserve">Patients taking Paxil reportedly had withdrawal reactions and problems: anxiety, agitation, confusion, dizziness, fatigue, headache, insomnia, irritability, nausea, palpitations, sweating, sleep disturbances, sensory disturbances, tremor, and vision distortion. As of April 2004, there were about 1,500 Paxil withdrawal plaintiffs in more than 30 states. These cases were consolidated into multidistrict litigation. Plaintiffs frequently bring the following claims: intentional misrepresentation, fraud, negligence, strict liability, and </w:t>
            </w:r>
            <w:r w:rsidRPr="00627338">
              <w:rPr>
                <w:rFonts w:ascii="inherit" w:eastAsia="Times New Roman" w:hAnsi="inherit" w:cs="Times New Roman"/>
                <w:sz w:val="21"/>
                <w:szCs w:val="21"/>
              </w:rPr>
              <w:lastRenderedPageBreak/>
              <w:t>breach of warranty. Paxil has also been linked to increased suicide risk in teens and has faced many lawsuits on that front.</w:t>
            </w:r>
          </w:p>
        </w:tc>
      </w:tr>
      <w:tr w:rsidR="00627338" w:rsidRPr="00627338" w:rsidTr="00627338">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lastRenderedPageBreak/>
              <w:t>Prempro (prescription drug to relieve menopausal symptoms)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Researchers determined that women taking Prempro were more likely to suffer breast cancer, stroke, heart disease, blood clots, and dementia. After this research, the FDA approved new labels emphasizing these increased risks; however, Prempro still remains on the market. Approximately 6 million women had been taking Prempro before the researchers announced the increased health risks associated with Prempro use. The first of the lawsuits against the manufacturer was heard in August 2006 and several suits have been found for the plaintiffs since then, with millions in damages awarded. In one court case in 2010, a woman was awarded $9.54 million; another case in 2007 yielded the astounding verdict of $134 million. As of 2010, many cases are ongoing.</w:t>
            </w:r>
          </w:p>
        </w:tc>
      </w:tr>
      <w:tr w:rsidR="00627338" w:rsidRPr="00627338" w:rsidTr="00627338">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Vioxx (NSAID, COX-2 inhibitor)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Vioxx is a painkiller marketed to treat pain from osteoarthritis. Vioxx has been linked to increased risk of heart attacks and strokes among users. In 2004, the manufacturer pulled Vioxx from the market in response to results of an FDA study. As of July 2007, the manufacturer still faced more than 27,000 lawsuits. A $4.85 billion fund was created by Merck, the manufacturer, to cover those suits. Specifically, a $4 billion fund was created to cover those who had suffered heart attacks after using the drug, and another $850 million fund for those who suffered strokes as a result of using the drug. As of 2010, many lawsuits are still pending.</w:t>
            </w:r>
          </w:p>
        </w:tc>
      </w:tr>
      <w:tr w:rsidR="00627338" w:rsidRPr="00627338" w:rsidTr="00627338">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Zicam (over-the-counter nasal gel to remedy the common cold)</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Plaintiffs contend that after using Zicam, they lost their sense of smell and taste. Plaintiffs argue that the Zicam manufacturer knew or should have known about the potential dangers associated with the use of nasal medications containing zinc. Use of zinc can cause nerve damage. Furthermore, plaintiffs argue that the manufacturer failed to provide sufficient warnings to the users of the products even though the side effects of zinc compounds have been documented. In January 2006, the manufacturer settled with 340 plaintiffs for $12 million.</w:t>
            </w:r>
          </w:p>
        </w:tc>
      </w:tr>
      <w:tr w:rsidR="00627338" w:rsidRPr="00627338" w:rsidTr="00627338">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lastRenderedPageBreak/>
              <w:t>Accutane (drug intended to treat severe acne)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Accutane is an acne medication that was used by millions of people to treat severe acne. In 2009, it was linked to the emergence of inflammatory bowel disease in users of the acne drug who had had no prior health problems related to the disease. On June 29, 2009, Hoffmann-La Roche announced a nationwide Accutane recall. Since the June 2009 Accutane recall, six court decisions have resulted in about $56 million in damages being paid to users who contracted inflammatory bowel disease from using Accutane by Roche.</w:t>
            </w:r>
          </w:p>
        </w:tc>
      </w:tr>
      <w:tr w:rsidR="00627338" w:rsidRPr="00627338" w:rsidTr="00627338">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Fosamax (anti-osteoporosis drug)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textAlignment w:val="baseline"/>
              <w:rPr>
                <w:rFonts w:ascii="inherit" w:eastAsia="Times New Roman" w:hAnsi="inherit" w:cs="Times New Roman"/>
                <w:sz w:val="21"/>
                <w:szCs w:val="21"/>
              </w:rPr>
            </w:pPr>
            <w:r w:rsidRPr="00627338">
              <w:rPr>
                <w:rFonts w:ascii="inherit" w:eastAsia="Times New Roman" w:hAnsi="inherit" w:cs="Times New Roman"/>
                <w:sz w:val="21"/>
                <w:szCs w:val="21"/>
              </w:rPr>
              <w:t>The </w:t>
            </w:r>
            <w:r w:rsidRPr="00627338">
              <w:rPr>
                <w:rFonts w:ascii="inherit" w:eastAsia="Times New Roman" w:hAnsi="inherit" w:cs="Times New Roman"/>
                <w:i/>
                <w:iCs/>
                <w:sz w:val="21"/>
                <w:szCs w:val="21"/>
                <w:bdr w:val="none" w:sz="0" w:space="0" w:color="auto" w:frame="1"/>
              </w:rPr>
              <w:t>Journal of Oral and Maxillofacial Surgeons</w:t>
            </w:r>
            <w:r w:rsidRPr="00627338">
              <w:rPr>
                <w:rFonts w:ascii="inherit" w:eastAsia="Times New Roman" w:hAnsi="inherit" w:cs="Times New Roman"/>
                <w:sz w:val="21"/>
                <w:szCs w:val="21"/>
              </w:rPr>
              <w:t> released a report in 2004 that linked Fosamax to osteonecrosis of the jaw (ONJ). The FDA swiftly issued warnings about the drug, distributed by Merck. ONJ causes the decay and subsequent death of the bone matter associated with the jaw.</w:t>
            </w:r>
          </w:p>
          <w:p w:rsidR="00627338" w:rsidRPr="00627338" w:rsidRDefault="00627338" w:rsidP="00627338">
            <w:pPr>
              <w:spacing w:line="402" w:lineRule="atLeast"/>
              <w:textAlignment w:val="baseline"/>
              <w:rPr>
                <w:rFonts w:ascii="inherit" w:eastAsia="Times New Roman" w:hAnsi="inherit" w:cs="Times New Roman"/>
                <w:sz w:val="21"/>
                <w:szCs w:val="21"/>
              </w:rPr>
            </w:pPr>
            <w:r w:rsidRPr="00627338">
              <w:rPr>
                <w:rFonts w:ascii="inherit" w:eastAsia="Times New Roman" w:hAnsi="inherit" w:cs="Times New Roman"/>
                <w:sz w:val="21"/>
                <w:szCs w:val="21"/>
              </w:rPr>
              <w:t>As a result of this health defect, the drug lost its patent protection in 2008 and is no longer one of Merck's most financially successful drugs. Furthermore, Merck has set aside millions of dollars to battle dozens of lawsuits over the drug. The suits have resulted in mistrials, and both successes and defeats for Merck.</w:t>
            </w:r>
          </w:p>
        </w:tc>
      </w:tr>
      <w:tr w:rsidR="00627338" w:rsidRPr="00627338" w:rsidTr="00627338">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Zyprexa (drug to treat schizophrenia) Seroquel (antipsychotic drug from AstraZeneca)</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after="360" w:line="402" w:lineRule="atLeast"/>
              <w:textAlignment w:val="baseline"/>
              <w:rPr>
                <w:rFonts w:ascii="inherit" w:eastAsia="Times New Roman" w:hAnsi="inherit" w:cs="Times New Roman"/>
                <w:sz w:val="21"/>
                <w:szCs w:val="21"/>
              </w:rPr>
            </w:pPr>
            <w:r w:rsidRPr="00627338">
              <w:rPr>
                <w:rFonts w:ascii="inherit" w:eastAsia="Times New Roman" w:hAnsi="inherit" w:cs="Times New Roman"/>
                <w:sz w:val="21"/>
                <w:szCs w:val="21"/>
              </w:rPr>
              <w:t>In 2005, it was determined that Zyprexa and Seroquel led to severe weight gain in those who took the drugs. The pronounced effects of the drugs associated with patients' weight put patients in danger of contracting diabetes, among other health issues related to weight gain. Lawmakers claim that manufacturers refused to release prior knowledge of the weight-gain side effect and thus improperly marketed the drug.</w:t>
            </w:r>
          </w:p>
          <w:p w:rsidR="00627338" w:rsidRPr="00627338" w:rsidRDefault="00627338" w:rsidP="00627338">
            <w:pPr>
              <w:spacing w:line="402" w:lineRule="atLeast"/>
              <w:textAlignment w:val="baseline"/>
              <w:rPr>
                <w:rFonts w:ascii="inherit" w:eastAsia="Times New Roman" w:hAnsi="inherit" w:cs="Times New Roman"/>
                <w:sz w:val="21"/>
                <w:szCs w:val="21"/>
              </w:rPr>
            </w:pPr>
            <w:r w:rsidRPr="00627338">
              <w:rPr>
                <w:rFonts w:ascii="inherit" w:eastAsia="Times New Roman" w:hAnsi="inherit" w:cs="Times New Roman"/>
                <w:sz w:val="21"/>
                <w:szCs w:val="21"/>
              </w:rPr>
              <w:t>In 2005, the drug manufacturer Eli Lilly settled around 8,000 lawsuits, paying around $700 million to those patients affected by Zyprexa. AstraZeneca agreed to a $520 million settlement.</w:t>
            </w:r>
          </w:p>
        </w:tc>
      </w:tr>
      <w:tr w:rsidR="00627338" w:rsidRPr="00627338" w:rsidTr="00627338">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lastRenderedPageBreak/>
              <w:t>Ortho Evra (birth-control patch)</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after="360" w:line="402" w:lineRule="atLeast"/>
              <w:textAlignment w:val="baseline"/>
              <w:rPr>
                <w:rFonts w:ascii="inherit" w:eastAsia="Times New Roman" w:hAnsi="inherit" w:cs="Times New Roman"/>
                <w:sz w:val="21"/>
                <w:szCs w:val="21"/>
              </w:rPr>
            </w:pPr>
            <w:r w:rsidRPr="00627338">
              <w:rPr>
                <w:rFonts w:ascii="inherit" w:eastAsia="Times New Roman" w:hAnsi="inherit" w:cs="Times New Roman"/>
                <w:sz w:val="21"/>
                <w:szCs w:val="21"/>
              </w:rPr>
              <w:t>In 2006, clinical trial results that were released linked Ortho Evra to blood clots that could result in strokes. The drug, manufactured and distributed by Johnson &amp; Johnson, comes in the form of a birth-control patch.</w:t>
            </w:r>
          </w:p>
          <w:p w:rsidR="00627338" w:rsidRPr="00627338" w:rsidRDefault="00627338" w:rsidP="00627338">
            <w:pPr>
              <w:spacing w:line="402" w:lineRule="atLeast"/>
              <w:textAlignment w:val="baseline"/>
              <w:rPr>
                <w:rFonts w:ascii="inherit" w:eastAsia="Times New Roman" w:hAnsi="inherit" w:cs="Times New Roman"/>
                <w:sz w:val="21"/>
                <w:szCs w:val="21"/>
              </w:rPr>
            </w:pPr>
            <w:r w:rsidRPr="00627338">
              <w:rPr>
                <w:rFonts w:ascii="inherit" w:eastAsia="Times New Roman" w:hAnsi="inherit" w:cs="Times New Roman"/>
                <w:sz w:val="21"/>
                <w:szCs w:val="21"/>
              </w:rPr>
              <w:t>Lawmakers claim that Johnson and Johnson had prior knowledge of this side effect yet did not release the information to the public and left it out of the drug's advertising. Johnson &amp; Johnson settled in court for $1.25 million in 2007.</w:t>
            </w:r>
          </w:p>
        </w:tc>
      </w:tr>
      <w:tr w:rsidR="00627338" w:rsidRPr="00627338" w:rsidTr="00627338">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line="402" w:lineRule="atLeast"/>
              <w:rPr>
                <w:rFonts w:ascii="inherit" w:eastAsia="Times New Roman" w:hAnsi="inherit" w:cs="Times New Roman"/>
                <w:sz w:val="21"/>
                <w:szCs w:val="21"/>
              </w:rPr>
            </w:pPr>
            <w:r w:rsidRPr="00627338">
              <w:rPr>
                <w:rFonts w:ascii="inherit" w:eastAsia="Times New Roman" w:hAnsi="inherit" w:cs="Times New Roman"/>
                <w:sz w:val="21"/>
                <w:szCs w:val="21"/>
              </w:rPr>
              <w:t>Yaz (birth control)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rsidR="00627338" w:rsidRPr="00627338" w:rsidRDefault="00627338" w:rsidP="00627338">
            <w:pPr>
              <w:spacing w:after="360" w:line="402" w:lineRule="atLeast"/>
              <w:textAlignment w:val="baseline"/>
              <w:rPr>
                <w:rFonts w:ascii="inherit" w:eastAsia="Times New Roman" w:hAnsi="inherit" w:cs="Times New Roman"/>
                <w:sz w:val="21"/>
                <w:szCs w:val="21"/>
              </w:rPr>
            </w:pPr>
            <w:r w:rsidRPr="00627338">
              <w:rPr>
                <w:rFonts w:ascii="inherit" w:eastAsia="Times New Roman" w:hAnsi="inherit" w:cs="Times New Roman"/>
                <w:sz w:val="21"/>
                <w:szCs w:val="21"/>
              </w:rPr>
              <w:t>At least 40 lawsuits popped up in 2009 against Bayer Pharmaceuticals because of its Yaz birth-control drug. The lawsuits claimed that inadequate information about serious side effects was released to the public through the marketing of the product. These side effects include, but are not limited to, heart attacks, stroke, gallbladder disease, and sudden death.</w:t>
            </w:r>
          </w:p>
          <w:p w:rsidR="00627338" w:rsidRPr="00627338" w:rsidRDefault="00627338" w:rsidP="00627338">
            <w:pPr>
              <w:spacing w:line="402" w:lineRule="atLeast"/>
              <w:textAlignment w:val="baseline"/>
              <w:rPr>
                <w:rFonts w:ascii="inherit" w:eastAsia="Times New Roman" w:hAnsi="inherit" w:cs="Times New Roman"/>
                <w:sz w:val="21"/>
                <w:szCs w:val="21"/>
              </w:rPr>
            </w:pPr>
            <w:r w:rsidRPr="00627338">
              <w:rPr>
                <w:rFonts w:ascii="inherit" w:eastAsia="Times New Roman" w:hAnsi="inherit" w:cs="Times New Roman"/>
                <w:sz w:val="21"/>
                <w:szCs w:val="21"/>
              </w:rPr>
              <w:t>In fact, Yaz is the only birth control that contains both ethinyl estradiol and drospirenone, with the latter allegedly making the drug very dangerous. As of 2010, many of the lawsuits had been consolidated into large class action lawsuits and are pending in state courts from Florida to Ohio to New Jersey.</w:t>
            </w:r>
          </w:p>
        </w:tc>
      </w:tr>
    </w:tbl>
    <w:p w:rsidR="00627338" w:rsidRPr="00627338" w:rsidRDefault="00627338" w:rsidP="00627338">
      <w:pPr>
        <w:textAlignment w:val="baseline"/>
        <w:outlineLvl w:val="0"/>
        <w:rPr>
          <w:rFonts w:ascii="inherit" w:eastAsia="Times New Roman" w:hAnsi="inherit" w:cs="Times New Roman"/>
          <w:b/>
          <w:bCs/>
          <w:color w:val="585858"/>
          <w:kern w:val="36"/>
        </w:rPr>
      </w:pPr>
      <w:r w:rsidRPr="00627338">
        <w:rPr>
          <w:rFonts w:ascii="inherit" w:eastAsia="Times New Roman" w:hAnsi="inherit" w:cs="Times New Roman"/>
          <w:b/>
          <w:bCs/>
          <w:color w:val="585858"/>
          <w:kern w:val="36"/>
        </w:rPr>
        <w:t>Exhibit 12-2 Prescription Drugs That Have Led To Product Liability Claims</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Initially, almost all successful product liability actions based on negligence were for breach of the duty to warn. The range of successful actions was so limited because people believed that competition and an open market provided the best means for ensuring that products will have optimal safety features. Believers in the sanctity of the market feel that the manufacturer’s job is to see that the purchaser is an informed purchaser and is not deceived about the safety of a product.</w:t>
      </w:r>
      <w:hyperlink r:id="rId20" w:anchor="P7000499191000000000000000002C52" w:history="1">
        <w:r w:rsidRPr="00627338">
          <w:rPr>
            <w:rFonts w:ascii="inherit" w:eastAsia="Times New Roman" w:hAnsi="inherit" w:cs="Times New Roman"/>
            <w:b/>
            <w:bCs/>
            <w:color w:val="1E7AB9"/>
            <w:sz w:val="14"/>
            <w:szCs w:val="14"/>
            <w:u w:val="single"/>
            <w:bdr w:val="none" w:sz="0" w:space="0" w:color="auto" w:frame="1"/>
            <w:vertAlign w:val="superscript"/>
          </w:rPr>
          <w:t>9</w:t>
        </w:r>
      </w:hyperlink>
    </w:p>
    <w:p w:rsidR="00627338" w:rsidRPr="00627338" w:rsidRDefault="00627338" w:rsidP="00627338">
      <w:pPr>
        <w:textAlignment w:val="baseline"/>
        <w:rPr>
          <w:rFonts w:ascii="inherit" w:eastAsia="Times New Roman" w:hAnsi="inherit" w:cs="Times New Roman"/>
        </w:rPr>
      </w:pPr>
      <w:hyperlink r:id="rId21" w:anchor="r__P7000499191000000000000000002C52" w:history="1">
        <w:r w:rsidRPr="00627338">
          <w:rPr>
            <w:rFonts w:ascii="inherit" w:eastAsia="Times New Roman" w:hAnsi="inherit" w:cs="Times New Roman"/>
            <w:b/>
            <w:bCs/>
            <w:color w:val="1E7AB9"/>
            <w:u w:val="single"/>
            <w:bdr w:val="none" w:sz="0" w:space="0" w:color="auto" w:frame="1"/>
          </w:rPr>
          <w:t>9</w:t>
        </w:r>
        <w:r w:rsidRPr="00627338">
          <w:rPr>
            <w:rFonts w:ascii="inherit" w:eastAsia="Times New Roman" w:hAnsi="inherit" w:cs="Times New Roman"/>
            <w:b/>
            <w:bCs/>
            <w:color w:val="1E7AB9"/>
            <w:bdr w:val="none" w:sz="0" w:space="0" w:color="auto" w:frame="1"/>
          </w:rPr>
          <w:t> </w:t>
        </w:r>
      </w:hyperlink>
      <w:r w:rsidRPr="00627338">
        <w:rPr>
          <w:rFonts w:ascii="inherit" w:eastAsia="Times New Roman" w:hAnsi="inherit" w:cs="Times New Roman"/>
        </w:rPr>
        <w:t>R. Coase, “The Problem of Social Cost,” </w:t>
      </w:r>
      <w:r w:rsidRPr="00627338">
        <w:rPr>
          <w:rFonts w:ascii="inherit" w:eastAsia="Times New Roman" w:hAnsi="inherit" w:cs="Times New Roman"/>
          <w:i/>
          <w:iCs/>
          <w:bdr w:val="none" w:sz="0" w:space="0" w:color="auto" w:frame="1"/>
        </w:rPr>
        <w:t>Law and Economics</w:t>
      </w:r>
      <w:r w:rsidRPr="00627338">
        <w:rPr>
          <w:rFonts w:ascii="inherit" w:eastAsia="Times New Roman" w:hAnsi="inherit" w:cs="Times New Roman"/>
        </w:rPr>
        <w:t> 3: 1 (1960).</w:t>
      </w:r>
    </w:p>
    <w:p w:rsidR="00627338" w:rsidRPr="00627338" w:rsidRDefault="00627338" w:rsidP="00627338">
      <w:pPr>
        <w:spacing w:before="228" w:after="114"/>
        <w:textAlignment w:val="baseline"/>
        <w:outlineLvl w:val="0"/>
        <w:rPr>
          <w:rFonts w:ascii="inherit" w:eastAsia="Times New Roman" w:hAnsi="inherit" w:cs="Times New Roman"/>
          <w:i/>
          <w:iCs/>
          <w:color w:val="585858"/>
          <w:kern w:val="36"/>
          <w:sz w:val="38"/>
          <w:szCs w:val="38"/>
        </w:rPr>
      </w:pPr>
      <w:r w:rsidRPr="00627338">
        <w:rPr>
          <w:rFonts w:ascii="inherit" w:eastAsia="Times New Roman" w:hAnsi="inherit" w:cs="Times New Roman"/>
          <w:i/>
          <w:iCs/>
          <w:color w:val="585858"/>
          <w:kern w:val="36"/>
          <w:sz w:val="38"/>
          <w:szCs w:val="38"/>
        </w:rPr>
        <w:t>Negligent Design</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 xml:space="preserve">The foregoing attitude generally prevailed until approximately 1960, when the courts began, in a limited number of cases, to impose liability based on negligence in the sale of defectively designed products. Such liability is imposed only when a reasonable person would conclude that despite any warnings given with the product, the risk of harm outweighed the utility of the product as designed. Courts have found a wide variety of products to be negligently designed, including weed killers, gas stations, BB guns, airplanes, and traffic signs. One example of negligent design can be found in a 2010 case against </w:t>
      </w:r>
      <w:r w:rsidRPr="00627338">
        <w:rPr>
          <w:rFonts w:ascii="inherit" w:eastAsia="Times New Roman" w:hAnsi="inherit" w:cs="Times New Roman"/>
        </w:rPr>
        <w:lastRenderedPageBreak/>
        <w:t>Boston Scientific Corp.’s Guidant unit. The corporation was sued because it did not warn medical professionals and the United States Food and Drug Administration that some of the implantable heart defibrillators it was producing would short-circuit. The short-circuiting defects resulted in the deaths of many patients who had the medical device implanted. Furthermore, company officials had been aware of the defects for at least three years but refused to disclose the information. The corporation pled guilty and agreed to a settlement of $296 million. Thus, the design of the product was considered faulty, as the resulting deaths could have been prevented through the disclosure of the defects and spending resources on modifications and further testing.</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In bringing an action for negligence in design, a plaintiff must generally prove that the product design (1) is inherently dangerous, (2) contains insufficient safety devices, or (3) consists of materials that do not satisfy standards acceptable in the trade.</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Usually an action for product liability based on negligence is accompanied by a strict liability claim, which is easier to prove. With the growing use of strict liability and the broad range of defenses to negligence, negligence has become less important as a theory of liability.</w:t>
      </w:r>
    </w:p>
    <w:p w:rsidR="00627338" w:rsidRPr="00627338" w:rsidRDefault="00627338" w:rsidP="00627338">
      <w:pPr>
        <w:spacing w:before="228" w:after="114"/>
        <w:textAlignment w:val="baseline"/>
        <w:outlineLvl w:val="0"/>
        <w:rPr>
          <w:rFonts w:ascii="inherit" w:eastAsia="Times New Roman" w:hAnsi="inherit" w:cs="Times New Roman"/>
          <w:i/>
          <w:iCs/>
          <w:color w:val="585858"/>
          <w:kern w:val="36"/>
          <w:sz w:val="38"/>
          <w:szCs w:val="38"/>
        </w:rPr>
      </w:pPr>
      <w:r w:rsidRPr="00627338">
        <w:rPr>
          <w:rFonts w:ascii="inherit" w:eastAsia="Times New Roman" w:hAnsi="inherit" w:cs="Times New Roman"/>
          <w:i/>
          <w:iCs/>
          <w:color w:val="585858"/>
          <w:kern w:val="36"/>
          <w:sz w:val="38"/>
          <w:szCs w:val="38"/>
        </w:rPr>
        <w:t>Negligence per se</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 </w:t>
      </w:r>
      <w:r w:rsidRPr="00627338">
        <w:rPr>
          <w:rFonts w:ascii="inherit" w:eastAsia="Times New Roman" w:hAnsi="inherit" w:cs="Times New Roman"/>
        </w:rPr>
        <w:t>As stated in </w:t>
      </w:r>
      <w:hyperlink r:id="rId22" w:anchor="P7000499191000000000000000002655" w:history="1">
        <w:r w:rsidRPr="00627338">
          <w:rPr>
            <w:rFonts w:ascii="inherit" w:eastAsia="Times New Roman" w:hAnsi="inherit" w:cs="Times New Roman"/>
            <w:b/>
            <w:bCs/>
            <w:color w:val="1E7AB9"/>
            <w:bdr w:val="none" w:sz="0" w:space="0" w:color="auto" w:frame="1"/>
          </w:rPr>
          <w:t>Chapter 11</w:t>
        </w:r>
      </w:hyperlink>
      <w:r w:rsidRPr="00627338">
        <w:rPr>
          <w:rFonts w:ascii="inherit" w:eastAsia="Times New Roman" w:hAnsi="inherit" w:cs="Times New Roman"/>
        </w:rPr>
        <w:t>, violation of a statutory duty is considered </w:t>
      </w:r>
      <w:r w:rsidRPr="00627338">
        <w:rPr>
          <w:rFonts w:ascii="inherit" w:eastAsia="Times New Roman" w:hAnsi="inherit" w:cs="Times New Roman"/>
          <w:i/>
          <w:iCs/>
          <w:bdr w:val="none" w:sz="0" w:space="0" w:color="auto" w:frame="1"/>
        </w:rPr>
        <w:t>negligence per se.</w:t>
      </w:r>
      <w:r w:rsidRPr="00627338">
        <w:rPr>
          <w:rFonts w:ascii="inherit" w:eastAsia="Times New Roman" w:hAnsi="inherit" w:cs="Times New Roman"/>
        </w:rPr>
        <w:t> This concept is used in negligence-based product liability cases.</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When a statute establishes product standards, the manufacturer has a duty to meet those standards. A manufacturer that does not meet those standards has breached its duty of care. As long as the plaintiff can establish that the breach of the statutory duty caused injury, the plaintiff can recover under a theory of negligence per se.</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Statutes that might be violated and lead to negligence per se actions include the Flammable Fabrics Act of 1953; the Food, Drug, and Cosmetics Act of 1938; and the Hazardous Substances Labeling Act of 1960.</w:t>
      </w:r>
    </w:p>
    <w:p w:rsidR="00627338" w:rsidRPr="00627338" w:rsidRDefault="00627338" w:rsidP="00627338">
      <w:pPr>
        <w:spacing w:before="100" w:beforeAutospacing="1" w:after="100" w:afterAutospacing="1"/>
        <w:textAlignment w:val="baseline"/>
        <w:outlineLvl w:val="0"/>
        <w:rPr>
          <w:rFonts w:ascii="inherit" w:eastAsia="Times New Roman" w:hAnsi="inherit" w:cs="Times New Roman"/>
          <w:b/>
          <w:bCs/>
          <w:kern w:val="36"/>
          <w:sz w:val="30"/>
          <w:szCs w:val="30"/>
        </w:rPr>
      </w:pPr>
      <w:r w:rsidRPr="00627338">
        <w:rPr>
          <w:rFonts w:ascii="inherit" w:eastAsia="Times New Roman" w:hAnsi="inherit" w:cs="Times New Roman"/>
          <w:b/>
          <w:bCs/>
          <w:kern w:val="36"/>
          <w:sz w:val="30"/>
          <w:szCs w:val="30"/>
        </w:rPr>
        <w:t>Applying the Law to the Facts . . . </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Let’s say that Rachel bought a sweater made of wool along with a mix of other materials. Rachel went to a bonfire with her friends and a small spark from the fire landed on her sweater, immediately causing it to burst into flames. If the manufacturer of Rachel’s sweater did not comply with the duties laid out in the Flammable Fabrics Act, what action could Rachel take against the sweater manufacturer? What would she need to prove to win her case?</w:t>
      </w:r>
    </w:p>
    <w:p w:rsidR="00627338" w:rsidRPr="00627338" w:rsidRDefault="00627338" w:rsidP="00627338">
      <w:pPr>
        <w:spacing w:before="228" w:after="114"/>
        <w:textAlignment w:val="baseline"/>
        <w:outlineLvl w:val="0"/>
        <w:rPr>
          <w:rFonts w:ascii="inherit" w:eastAsia="Times New Roman" w:hAnsi="inherit" w:cs="Times New Roman"/>
          <w:i/>
          <w:iCs/>
          <w:color w:val="585858"/>
          <w:kern w:val="36"/>
          <w:sz w:val="38"/>
          <w:szCs w:val="38"/>
        </w:rPr>
      </w:pPr>
      <w:r w:rsidRPr="00627338">
        <w:rPr>
          <w:rFonts w:ascii="inherit" w:eastAsia="Times New Roman" w:hAnsi="inherit" w:cs="Times New Roman"/>
          <w:i/>
          <w:iCs/>
          <w:color w:val="585858"/>
          <w:kern w:val="36"/>
          <w:sz w:val="38"/>
          <w:szCs w:val="38"/>
        </w:rPr>
        <w:t>Defenses to a Negligence-Based Product Liability Action</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lastRenderedPageBreak/>
        <w:t> </w:t>
      </w:r>
      <w:r w:rsidRPr="00627338">
        <w:rPr>
          <w:rFonts w:ascii="inherit" w:eastAsia="Times New Roman" w:hAnsi="inherit" w:cs="Times New Roman"/>
        </w:rPr>
        <w:t>All of the defenses discussed in the negligence section of </w:t>
      </w:r>
      <w:hyperlink r:id="rId23" w:anchor="P7000499191000000000000000002655" w:history="1">
        <w:r w:rsidRPr="00627338">
          <w:rPr>
            <w:rFonts w:ascii="inherit" w:eastAsia="Times New Roman" w:hAnsi="inherit" w:cs="Times New Roman"/>
            <w:b/>
            <w:bCs/>
            <w:color w:val="1E7AB9"/>
            <w:bdr w:val="none" w:sz="0" w:space="0" w:color="auto" w:frame="1"/>
          </w:rPr>
          <w:t>Chapter 11</w:t>
        </w:r>
      </w:hyperlink>
      <w:r w:rsidRPr="00627338">
        <w:rPr>
          <w:rFonts w:ascii="inherit" w:eastAsia="Times New Roman" w:hAnsi="inherit" w:cs="Times New Roman"/>
        </w:rPr>
        <w:t> are available in product liability cases based on negligence. Remember that the plaintiff’s own failure to act reasonably can provide a defense. Depending on the state in which the action is brought, the plaintiff’s negligence will allow the defendant to raise the defense of contributory, modified comparative, or pure comparative negligence. If contributory negligence is proved, the plaintiff is barred from recovery. In a state where the defense of pure comparative negligence is allowed, the plaintiff can recover for only that portion of the harm attributable to the defendant’s negligence. In a state that follows modified contributory negligence, the plaintiff can recover the percentage of harm caused by the defendant as long as the jury finds that the plaintiff’s negligence was responsible for less than 50 percent of the harm. So, if a jury finds the defendant to be responsible for 60 percent of the plaintiff’s harm, the plaintiff could recover nothing in a contributory negligence state, but could recover damages for 60 percent of his or her injuries in a modified or pure comparative negligence state. If the defendant were only 40 percent responsible, however, the plaintiff would be able to recover 40 percent of his or her injuries only in the pure comparative negligence state and nothing in the other two.</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Another defense available in product liability cases based on negligence is assumption of the risk. A plaintiff is said to assume the risk when he or she voluntarily and unreasonably encounters a known danger. If the consumer knows that a defect exists but still proceeds unreasonably to make use of the product, he or she is said to have voluntarily assumed the risk of injury from the defect and cannot recover.</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In deciding whether the plaintiff did indeed assume the risk, the trier of fact may consider such factors as the plaintiff’s age, experience, knowledge, and understanding. The obviousness of the defect and the danger it poses are also relevant factors. If a plaintiff knows of a danger but does not fully appreciate the magnitude of the risk, the applicability of the defense is a question for the jury. In most cases, an employee using an unsafe machine at work is not presumed to have assumed the risk, because most courts recognize that the concept of voluntariness is an illusion in the workplace. Earlier, however, employees attempting to sue manufacturers of defective machines for injuries at work were defeated by this defense.</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In many states, misuse of the product is raised as a defense in negligence- based product liability cases. To constitute a valid defense, such misuse must be unreasonable or unforeseeable. A defendant raising the defense of product misuse is really arguing that the harm was caused not by the defendant’s negligence but by the plaintiff’s failure to use the product in the manner in which it was designed and intended to be used.</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Statutory defenses are also available to defendants. To ensure that there will be sufficient evidence from which a trier of fact can make a decision, states have </w:t>
      </w:r>
      <w:hyperlink r:id="rId24" w:anchor="P7000499191000000000000000005CF5" w:history="1">
        <w:r w:rsidRPr="00627338">
          <w:rPr>
            <w:rFonts w:ascii="inherit" w:eastAsia="Times New Roman" w:hAnsi="inherit" w:cs="Times New Roman"/>
            <w:b/>
            <w:bCs/>
            <w:color w:val="1E7AB9"/>
            <w:u w:val="single"/>
            <w:bdr w:val="none" w:sz="0" w:space="0" w:color="auto" w:frame="1"/>
          </w:rPr>
          <w:t>statutes of limitations</w:t>
        </w:r>
      </w:hyperlink>
      <w:r w:rsidRPr="00627338">
        <w:rPr>
          <w:rFonts w:ascii="inherit" w:eastAsia="Times New Roman" w:hAnsi="inherit" w:cs="Times New Roman"/>
        </w:rPr>
        <w:t xml:space="preserve"> that limit the time within which all types of civil actions may be brought. In most states, the statute of limitations for tort actions, and thus for negligence-based product liability cases, is two to four years from the date of injury. Maine, however, has a six-year statutes of limitations. Kentucky, Louisiana, and Tennessee are the only states with </w:t>
      </w:r>
      <w:r w:rsidRPr="00627338">
        <w:rPr>
          <w:rFonts w:ascii="inherit" w:eastAsia="Times New Roman" w:hAnsi="inherit" w:cs="Times New Roman"/>
        </w:rPr>
        <w:lastRenderedPageBreak/>
        <w:t>one-year statutes of limitations. If the injured party is a minor, the statute of limitations does not start running until the injured party reaches age 18.</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b/>
          <w:bCs/>
          <w:i/>
          <w:iCs/>
          <w:color w:val="333333"/>
          <w:bdr w:val="none" w:sz="0" w:space="0" w:color="auto" w:frame="1"/>
        </w:rPr>
        <w:t>statute of limitations </w:t>
      </w:r>
    </w:p>
    <w:p w:rsidR="00627338" w:rsidRPr="00627338" w:rsidRDefault="00627338" w:rsidP="00627338">
      <w:pPr>
        <w:ind w:left="720"/>
        <w:textAlignment w:val="baseline"/>
        <w:rPr>
          <w:rFonts w:ascii="inherit" w:eastAsia="Times New Roman" w:hAnsi="inherit" w:cs="Times New Roman"/>
        </w:rPr>
      </w:pPr>
      <w:r w:rsidRPr="00627338">
        <w:rPr>
          <w:rFonts w:ascii="inherit" w:eastAsia="Times New Roman" w:hAnsi="inherit" w:cs="Times New Roman"/>
        </w:rPr>
        <w:t>A statute that bars actions arising more than a specified number of years after the cause of the action arises.</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States also have </w:t>
      </w:r>
      <w:hyperlink r:id="rId25" w:anchor="P7000499191000000000000000005CF8" w:history="1">
        <w:r w:rsidRPr="00627338">
          <w:rPr>
            <w:rFonts w:ascii="inherit" w:eastAsia="Times New Roman" w:hAnsi="inherit" w:cs="Times New Roman"/>
            <w:b/>
            <w:bCs/>
            <w:color w:val="1E7AB9"/>
            <w:u w:val="single"/>
            <w:bdr w:val="none" w:sz="0" w:space="0" w:color="auto" w:frame="1"/>
          </w:rPr>
          <w:t>statutes of repose</w:t>
        </w:r>
      </w:hyperlink>
      <w:r w:rsidRPr="00627338">
        <w:rPr>
          <w:rFonts w:ascii="inherit" w:eastAsia="Times New Roman" w:hAnsi="inherit" w:cs="Times New Roman"/>
        </w:rPr>
        <w:t>, which bar actions arising more than a specified number of years after the product was purchased. Statutes of repose are usually much longer than statutes of limitations; they are often at least 10 years, and frequently are 25 or 50 years. Statutes of repose may seem unduly harsh on consumers who may be injured as a result of a latent defect in a product. In contrast, to make the manufacturer liable in perpetuity may be unduly harsh on manufacturers and sellers, because of the resulting uncertainty about possible liability. Those who worry about the seller’s liability, however, should remember that the older the product is, the more difficult it will be for the plaintiff to prove negligence on the part of the defendant.</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b/>
          <w:bCs/>
          <w:i/>
          <w:iCs/>
          <w:color w:val="333333"/>
          <w:bdr w:val="none" w:sz="0" w:space="0" w:color="auto" w:frame="1"/>
        </w:rPr>
        <w:t>statute of repose </w:t>
      </w:r>
    </w:p>
    <w:p w:rsidR="00627338" w:rsidRPr="00627338" w:rsidRDefault="00627338" w:rsidP="00627338">
      <w:pPr>
        <w:ind w:left="720"/>
        <w:textAlignment w:val="baseline"/>
        <w:rPr>
          <w:rFonts w:ascii="inherit" w:eastAsia="Times New Roman" w:hAnsi="inherit" w:cs="Times New Roman"/>
        </w:rPr>
      </w:pPr>
      <w:r w:rsidRPr="00627338">
        <w:rPr>
          <w:rFonts w:ascii="inherit" w:eastAsia="Times New Roman" w:hAnsi="inherit" w:cs="Times New Roman"/>
        </w:rPr>
        <w:t>A statute that bars actions arising more than a specified number of years after the product was purchased.</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A defendant may use the </w:t>
      </w:r>
      <w:hyperlink r:id="rId26" w:anchor="P7000499191000000000000000005CF2" w:history="1">
        <w:r w:rsidRPr="00627338">
          <w:rPr>
            <w:rFonts w:ascii="inherit" w:eastAsia="Times New Roman" w:hAnsi="inherit" w:cs="Times New Roman"/>
            <w:b/>
            <w:bCs/>
            <w:color w:val="1E7AB9"/>
            <w:u w:val="single"/>
            <w:bdr w:val="none" w:sz="0" w:space="0" w:color="auto" w:frame="1"/>
          </w:rPr>
          <w:t>state-of-the-art defense</w:t>
        </w:r>
      </w:hyperlink>
      <w:r w:rsidRPr="00627338">
        <w:rPr>
          <w:rFonts w:ascii="inherit" w:eastAsia="Times New Roman" w:hAnsi="inherit" w:cs="Times New Roman"/>
        </w:rPr>
        <w:t> to demonstrate that the alleged negligent behavior was reasonable, given the available scientific knowledge existing at the time the product was sold or produced. In a case based on the defendant’s negligent defective design of a product, the state-of-the-art defense refers to the technological feasibility of producing a safer product at the time the product was manufactured. In cases of negligent failure to warn, the state-of-the-art defense refers to the scientific knowability of a risk associated with a product at the time of its production. This defense is valid in a negligence case because the focus is on the reasonableness of the defendant’s conduct. Nevertheless, demonstrating that, given the state of scientific knowledge, there was no feasible way to make a safer product does not always preclude liability. The court may find that the defendant’s conduct was still unreasonable because even in the product’s technologically safest form, the risks posed by the defect in the design so outweighed the benefits of the product that the reasonable person would not have produced a product of that design.</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b/>
          <w:bCs/>
          <w:i/>
          <w:iCs/>
          <w:color w:val="333333"/>
          <w:bdr w:val="none" w:sz="0" w:space="0" w:color="auto" w:frame="1"/>
        </w:rPr>
        <w:t>state-of-the-art defense </w:t>
      </w:r>
    </w:p>
    <w:p w:rsidR="00627338" w:rsidRPr="00627338" w:rsidRDefault="00627338" w:rsidP="00627338">
      <w:pPr>
        <w:ind w:left="720"/>
        <w:textAlignment w:val="baseline"/>
        <w:rPr>
          <w:rFonts w:ascii="inherit" w:eastAsia="Times New Roman" w:hAnsi="inherit" w:cs="Times New Roman"/>
        </w:rPr>
      </w:pPr>
      <w:r w:rsidRPr="00627338">
        <w:rPr>
          <w:rFonts w:ascii="inherit" w:eastAsia="Times New Roman" w:hAnsi="inherit" w:cs="Times New Roman"/>
        </w:rPr>
        <w:t>A product liability defense based on adherence to existing technologically feasible standards at the time the product was manufactured.</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An earlier section showed that failure to comply with a safety standard may lead to the imposition of liability. An interesting question is whether the converse is true: Does compliance with safety regulations constitute a defense? There is no clear answer to that question. Sometimes, however, compliance with federal laws may undergird a defense that use of state tort law is preempted by a federal statute designed to ensure the safety of a particular class of products. The following case illustrates one situation in which the Supreme Court had to determine whether a corporation could be found guilty of product liability after the company had complied with federal regulations, or whether the federal regulations preempted state product liability law.</w:t>
      </w:r>
    </w:p>
    <w:p w:rsidR="00627338" w:rsidRPr="00627338" w:rsidRDefault="00627338" w:rsidP="00627338">
      <w:pPr>
        <w:spacing w:before="285" w:after="285" w:line="285" w:lineRule="atLeast"/>
        <w:textAlignment w:val="baseline"/>
        <w:outlineLvl w:val="0"/>
        <w:rPr>
          <w:rFonts w:ascii="inherit" w:eastAsia="Times New Roman" w:hAnsi="inherit" w:cs="Times New Roman"/>
          <w:b/>
          <w:bCs/>
          <w:color w:val="CC6600"/>
          <w:kern w:val="36"/>
          <w:sz w:val="30"/>
          <w:szCs w:val="30"/>
        </w:rPr>
      </w:pPr>
      <w:r w:rsidRPr="00627338">
        <w:rPr>
          <w:rFonts w:ascii="inherit" w:eastAsia="Times New Roman" w:hAnsi="inherit" w:cs="Times New Roman"/>
          <w:b/>
          <w:bCs/>
          <w:color w:val="CC6600"/>
          <w:kern w:val="36"/>
          <w:sz w:val="30"/>
          <w:szCs w:val="30"/>
        </w:rPr>
        <w:lastRenderedPageBreak/>
        <w:fldChar w:fldCharType="begin"/>
      </w:r>
      <w:r w:rsidRPr="00627338">
        <w:rPr>
          <w:rFonts w:ascii="inherit" w:eastAsia="Times New Roman" w:hAnsi="inherit" w:cs="Times New Roman"/>
          <w:b/>
          <w:bCs/>
          <w:color w:val="CC6600"/>
          <w:kern w:val="36"/>
          <w:sz w:val="30"/>
          <w:szCs w:val="30"/>
        </w:rPr>
        <w:instrText xml:space="preserve"> INCLUDEPICTURE "/var/folders/92/ngx3jzzn1l9235qg2g9hmbzr0000gn/T/com.microsoft.Word/WebArchiveCopyPasteTempFiles/Fotolia_47747980_Subscription_Monthly_XXL.png" \* MERGEFORMATINET </w:instrText>
      </w:r>
      <w:r w:rsidRPr="00627338">
        <w:rPr>
          <w:rFonts w:ascii="inherit" w:eastAsia="Times New Roman" w:hAnsi="inherit" w:cs="Times New Roman"/>
          <w:b/>
          <w:bCs/>
          <w:color w:val="CC6600"/>
          <w:kern w:val="36"/>
          <w:sz w:val="30"/>
          <w:szCs w:val="30"/>
        </w:rPr>
        <w:fldChar w:fldCharType="separate"/>
      </w:r>
      <w:r w:rsidRPr="00627338">
        <w:rPr>
          <w:rFonts w:ascii="inherit" w:eastAsia="Times New Roman" w:hAnsi="inherit" w:cs="Times New Roman"/>
          <w:b/>
          <w:bCs/>
          <w:noProof/>
          <w:color w:val="CC6600"/>
          <w:kern w:val="36"/>
          <w:sz w:val="30"/>
          <w:szCs w:val="30"/>
        </w:rPr>
        <w:drawing>
          <wp:inline distT="0" distB="0" distL="0" distR="0">
            <wp:extent cx="1352550" cy="1429385"/>
            <wp:effectExtent l="0" t="0" r="6350" b="5715"/>
            <wp:docPr id="4" name="Picture 4" descr="/var/folders/92/ngx3jzzn1l9235qg2g9hmbzr0000gn/T/com.microsoft.Word/WebArchiveCopyPasteTempFiles/Fotolia_47747980_Subscription_Monthly_X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919100000000000000000ED28" descr="/var/folders/92/ngx3jzzn1l9235qg2g9hmbzr0000gn/T/com.microsoft.Word/WebArchiveCopyPasteTempFiles/Fotolia_47747980_Subscription_Monthly_XXL.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2550" cy="1429385"/>
                    </a:xfrm>
                    <a:prstGeom prst="rect">
                      <a:avLst/>
                    </a:prstGeom>
                    <a:noFill/>
                    <a:ln>
                      <a:noFill/>
                    </a:ln>
                  </pic:spPr>
                </pic:pic>
              </a:graphicData>
            </a:graphic>
          </wp:inline>
        </w:drawing>
      </w:r>
      <w:r w:rsidRPr="00627338">
        <w:rPr>
          <w:rFonts w:ascii="inherit" w:eastAsia="Times New Roman" w:hAnsi="inherit" w:cs="Times New Roman"/>
          <w:b/>
          <w:bCs/>
          <w:color w:val="CC6600"/>
          <w:kern w:val="36"/>
          <w:sz w:val="30"/>
          <w:szCs w:val="30"/>
        </w:rPr>
        <w:fldChar w:fldCharType="end"/>
      </w:r>
      <w:r w:rsidRPr="00627338">
        <w:rPr>
          <w:rFonts w:ascii="inherit" w:eastAsia="Times New Roman" w:hAnsi="inherit" w:cs="Times New Roman"/>
          <w:b/>
          <w:bCs/>
          <w:color w:val="CC6600"/>
          <w:kern w:val="36"/>
          <w:sz w:val="30"/>
          <w:szCs w:val="30"/>
        </w:rPr>
        <w:t> Case 12-1 Mutual Pharmaceutical Company, Inc. v. Bartlett</w:t>
      </w:r>
    </w:p>
    <w:p w:rsidR="00627338" w:rsidRPr="00627338" w:rsidRDefault="00627338" w:rsidP="00627338">
      <w:pPr>
        <w:textAlignment w:val="baseline"/>
        <w:rPr>
          <w:rFonts w:ascii="inherit" w:eastAsia="Times New Roman" w:hAnsi="inherit" w:cs="Times New Roman"/>
          <w:color w:val="468173"/>
        </w:rPr>
      </w:pPr>
      <w:r w:rsidRPr="00627338">
        <w:rPr>
          <w:rFonts w:ascii="inherit" w:eastAsia="Times New Roman" w:hAnsi="inherit" w:cs="Times New Roman"/>
          <w:color w:val="468173"/>
        </w:rPr>
        <w:t>United States Supreme Court 133 S. Ct. 2466 (2013)</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In 1978, the federal Food and Drug Administration (FDA), approved the nonsteroidal anti-inflammatory pain reliever sulindac, sold under the brand name Clinoril. The FDA also approved its labeling, which included warnings of potential side effects. When the company’s patent expired, other companies, including Mutual Pharmaceutical Company, produced generic versions of the drug. As required by federal law, the companies selling the generic drugs used the exact same labels as approved for the original drug, without any modifications.</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Karen Bartlett was prescribed Clinoril for shoulder pain, and the pharmacy filled the prescription with the generic form of the drug manufactured by Mutual Pharmaceutical. Shortly after starting to use the pain reliever, she developed an acute case of toxic epidermal necrolysis. As a consequence, she became severely disfigured and nearly blind. The label had not warned of the potential for toxic epidermal necrolysis, although subsequently, however, the FDA recommended changing all NSAID labeling to contain a more explicit toxic epidermal necrolysis warning.</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Bartlett sued Mutual Pharmaceutical Company under the New Hampshire state design-defect law. A jury found in her favor and awarded her over $21 million in damages. The First Circuit Court of Appeals affirmed the decision, finding that neither the FDCA nor the FDA’s regulations preempted respondent’s design-defect claim. It distinguished </w:t>
      </w:r>
      <w:r w:rsidRPr="00627338">
        <w:rPr>
          <w:rFonts w:ascii="inherit" w:eastAsia="Times New Roman" w:hAnsi="inherit" w:cs="Times New Roman"/>
          <w:i/>
          <w:iCs/>
          <w:bdr w:val="none" w:sz="0" w:space="0" w:color="auto" w:frame="1"/>
        </w:rPr>
        <w:t>PLIVA, Inc. v. Mensing</w:t>
      </w:r>
      <w:r w:rsidRPr="00627338">
        <w:rPr>
          <w:rFonts w:ascii="inherit" w:eastAsia="Times New Roman" w:hAnsi="inherit" w:cs="Times New Roman"/>
        </w:rPr>
        <w:t>, a previous Supreme Court case holding that failure-to-warn claims against generic manufacturers are preempted by the FDCA’s prohibition on changes to generic drug labels, by stating that generic manufacturers facing design-defect claims could comply with both federal and state law simply by choosing not to make the drug at all.</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Mutual Pharmaceuticals appealed to the U.S. Supreme Court.</w:t>
      </w:r>
    </w:p>
    <w:p w:rsidR="00627338" w:rsidRPr="00627338" w:rsidRDefault="00627338" w:rsidP="00627338">
      <w:pPr>
        <w:spacing w:before="360"/>
        <w:textAlignment w:val="baseline"/>
        <w:outlineLvl w:val="0"/>
        <w:rPr>
          <w:rFonts w:ascii="inherit" w:eastAsia="Times New Roman" w:hAnsi="inherit" w:cs="Times New Roman"/>
          <w:i/>
          <w:iCs/>
          <w:color w:val="585858"/>
          <w:kern w:val="36"/>
        </w:rPr>
      </w:pPr>
      <w:r w:rsidRPr="00627338">
        <w:rPr>
          <w:rFonts w:ascii="inherit" w:eastAsia="Times New Roman" w:hAnsi="inherit" w:cs="Times New Roman"/>
          <w:i/>
          <w:iCs/>
          <w:color w:val="585858"/>
          <w:kern w:val="36"/>
        </w:rPr>
        <w:t>Justice Alito</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We must decide whether federal law preempts the New Hampshire design-defect claim under which respondent Karen Bartlett recovered damages from petitioner Mutual Pharmaceutical, the manufacturer of sulindac, a generic nonsteroidal anti-inflammatory drug (NSAID). New Hampshire law imposes a duty on manufacturers to ensure that the drugs they market are not unreasonably unsafe, and a drug’s safety is evaluated by reference to both its chemical properties and the adequacy of its warnings.</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lastRenderedPageBreak/>
        <w:t>Because Mutual was unable to change sulindac’s composition as a matter of both federal law and basic chemistry, New Hampshire’s design-defect cause of action effectively required Mutual to change sulindac’s labeling to provide stronger warnings. But, as this Court recognized just two Terms ago in </w:t>
      </w:r>
      <w:r w:rsidRPr="00627338">
        <w:rPr>
          <w:rFonts w:ascii="inherit" w:eastAsia="Times New Roman" w:hAnsi="inherit" w:cs="Times New Roman"/>
          <w:i/>
          <w:iCs/>
          <w:bdr w:val="none" w:sz="0" w:space="0" w:color="auto" w:frame="1"/>
        </w:rPr>
        <w:t>PLIVA, Inc. v. Mensing</w:t>
      </w:r>
      <w:r w:rsidRPr="00627338">
        <w:rPr>
          <w:rFonts w:ascii="inherit" w:eastAsia="Times New Roman" w:hAnsi="inherit" w:cs="Times New Roman"/>
        </w:rPr>
        <w:t>, 564 U.S. ___ (2011), federal law prohibits generic drug manufacturers from independently changing their drugs’ labels. Accordingly, state law imposed a duty on Mutual not to comply with federal law. Under the Supremacy Clause, state laws that require a private party to violate federal law are preempted and, thus, are “without effect.”. . .</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Accordingly, we hold that state-law design-defect claims that turn on the adequacy of a drug’s warnings are preempted by federal law under </w:t>
      </w:r>
      <w:r w:rsidRPr="00627338">
        <w:rPr>
          <w:rFonts w:ascii="inherit" w:eastAsia="Times New Roman" w:hAnsi="inherit" w:cs="Times New Roman"/>
          <w:i/>
          <w:iCs/>
          <w:bdr w:val="none" w:sz="0" w:space="0" w:color="auto" w:frame="1"/>
        </w:rPr>
        <w:t>PLIVA</w:t>
      </w:r>
      <w:r w:rsidRPr="00627338">
        <w:rPr>
          <w:rFonts w:ascii="inherit" w:eastAsia="Times New Roman" w:hAnsi="inherit" w:cs="Times New Roman"/>
        </w:rPr>
        <w:t>.</w:t>
      </w:r>
      <w:hyperlink r:id="rId28" w:anchor="P7000499191000000000000000002C68" w:history="1">
        <w:r w:rsidRPr="00627338">
          <w:rPr>
            <w:rFonts w:ascii="inherit" w:eastAsia="Times New Roman" w:hAnsi="inherit" w:cs="Times New Roman"/>
            <w:b/>
            <w:bCs/>
            <w:color w:val="1E7AB9"/>
            <w:sz w:val="12"/>
            <w:szCs w:val="12"/>
            <w:u w:val="single"/>
            <w:bdr w:val="none" w:sz="0" w:space="0" w:color="auto" w:frame="1"/>
            <w:vertAlign w:val="superscript"/>
          </w:rPr>
          <w:t>*</w:t>
        </w:r>
      </w:hyperlink>
    </w:p>
    <w:p w:rsidR="00627338" w:rsidRPr="00627338" w:rsidRDefault="00627338" w:rsidP="00627338">
      <w:pPr>
        <w:textAlignment w:val="baseline"/>
        <w:rPr>
          <w:rFonts w:ascii="inherit" w:eastAsia="Times New Roman" w:hAnsi="inherit" w:cs="Times New Roman"/>
          <w:i/>
          <w:iCs/>
          <w:sz w:val="17"/>
          <w:szCs w:val="17"/>
        </w:rPr>
      </w:pPr>
      <w:r w:rsidRPr="00627338">
        <w:rPr>
          <w:rFonts w:ascii="inherit" w:eastAsia="Times New Roman" w:hAnsi="inherit" w:cs="Times New Roman"/>
          <w:i/>
          <w:iCs/>
          <w:sz w:val="17"/>
          <w:szCs w:val="17"/>
          <w:bdr w:val="none" w:sz="0" w:space="0" w:color="auto" w:frame="1"/>
        </w:rPr>
        <w:t>Reversed</w:t>
      </w:r>
      <w:r w:rsidRPr="00627338">
        <w:rPr>
          <w:rFonts w:ascii="inherit" w:eastAsia="Times New Roman" w:hAnsi="inherit" w:cs="Times New Roman"/>
          <w:i/>
          <w:iCs/>
          <w:sz w:val="17"/>
          <w:szCs w:val="17"/>
        </w:rPr>
        <w:t>, in favor of Appellant, Mutual Pharmaceutical Company.</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Each preemption case requires careful scrutiny of the purpose of the statute. Automobile manufacturers have attempted to use the preemption defense, but have met with limited success. For example, in 2000, a passenger who was wearing a seat belt was injured in an automobile accident, and sued Honda under state tort law, arguing that had the car had a driver’s-side air bag in addition to the seat belt, she would not have been so seriously injured. The U.S. Supreme Court agreed that the state action was preempted by Honda’s compliance with the Federal Motor Vehicle Safety Standard Act, which required auto manufacturers to equip some, but not all, of their vehicles with passive restraints.</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Oil companies have had mixed results in cases in which they have argued that the Clean Air Act preempts their liability for methyl tertiary butyl ether (MTBE) water contamination. In an attempt to reduce air pollution in certain areas, Congress mandated that gasoline contain an oxygenate, which allows gasoline to burn more cleanly. Congress, however, did not require that a particular oxygenate be used. Most oil companies added the oxygenate MTBE to gasoline. Unfortunately, even very small amounts of MTBE can contaminate drinking water: It affects the smell and taste of water and may cause health problems. Public water utilities and private individuals, faced with millions of dollars in cleanup costs, began suing oil companies for damages to resolve the water contamination. In response, oil companies, raising the preemption defense, argue that because the government required them to add an oxygenate to gasoline, oil companies should not be responsible for the water contamination. Plaintiffs argue that oil companies chose to use MTBE; other oxygenates, such as ethanol, were available. Several courts have concluded that the Clean Air Act preempts oil companies’ liability, but other courts have reached the opposite conclusion, emphasizing the fact that oil companies had a choice. Furthermore, these courts hold that the purpose of the Clean Air Act was to address air pollution, and the MTBE water contamination is a problem too far removed from the purposes of the Clean Air Act to preempt product liability claims associated with MTBE.</w:t>
      </w:r>
    </w:p>
    <w:p w:rsidR="00627338" w:rsidRPr="00627338" w:rsidRDefault="00627338" w:rsidP="00627338">
      <w:pPr>
        <w:spacing w:before="285" w:after="190"/>
        <w:textAlignment w:val="baseline"/>
        <w:outlineLvl w:val="0"/>
        <w:rPr>
          <w:rFonts w:ascii="inherit" w:eastAsia="Times New Roman" w:hAnsi="inherit" w:cs="Times New Roman"/>
          <w:color w:val="585858"/>
          <w:kern w:val="36"/>
          <w:sz w:val="45"/>
          <w:szCs w:val="45"/>
        </w:rPr>
      </w:pPr>
      <w:r w:rsidRPr="00627338">
        <w:rPr>
          <w:rFonts w:ascii="inherit" w:eastAsia="Times New Roman" w:hAnsi="inherit" w:cs="Times New Roman"/>
          <w:color w:val="585858"/>
          <w:kern w:val="36"/>
          <w:sz w:val="45"/>
          <w:szCs w:val="45"/>
        </w:rPr>
        <w:t>Strict Liability in Contract for Breach of Warranty</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The Uniform Commercial Code (UCC) provides the basis for recovery against a manufacturer or seller on the basis of breach of warranty. A </w:t>
      </w:r>
      <w:hyperlink r:id="rId29" w:anchor="P7000499191000000000000000005DAD" w:history="1">
        <w:r w:rsidRPr="00627338">
          <w:rPr>
            <w:rFonts w:ascii="inherit" w:eastAsia="Times New Roman" w:hAnsi="inherit" w:cs="Times New Roman"/>
            <w:b/>
            <w:bCs/>
            <w:color w:val="1E7AB9"/>
            <w:u w:val="single"/>
            <w:bdr w:val="none" w:sz="0" w:space="0" w:color="auto" w:frame="1"/>
          </w:rPr>
          <w:t>warranty</w:t>
        </w:r>
      </w:hyperlink>
      <w:r w:rsidRPr="00627338">
        <w:rPr>
          <w:rFonts w:ascii="inherit" w:eastAsia="Times New Roman" w:hAnsi="inherit" w:cs="Times New Roman"/>
        </w:rPr>
        <w:t xml:space="preserve"> is a guarantee or a </w:t>
      </w:r>
      <w:r w:rsidRPr="00627338">
        <w:rPr>
          <w:rFonts w:ascii="inherit" w:eastAsia="Times New Roman" w:hAnsi="inherit" w:cs="Times New Roman"/>
        </w:rPr>
        <w:lastRenderedPageBreak/>
        <w:t>binding promise. Warranties may be either </w:t>
      </w:r>
      <w:hyperlink r:id="rId30" w:anchor="P7000499191000000000000000005A51" w:history="1">
        <w:r w:rsidRPr="00627338">
          <w:rPr>
            <w:rFonts w:ascii="inherit" w:eastAsia="Times New Roman" w:hAnsi="inherit" w:cs="Times New Roman"/>
            <w:b/>
            <w:bCs/>
            <w:color w:val="1E7AB9"/>
            <w:u w:val="single"/>
            <w:bdr w:val="none" w:sz="0" w:space="0" w:color="auto" w:frame="1"/>
          </w:rPr>
          <w:t>express</w:t>
        </w:r>
      </w:hyperlink>
      <w:r w:rsidRPr="00627338">
        <w:rPr>
          <w:rFonts w:ascii="inherit" w:eastAsia="Times New Roman" w:hAnsi="inherit" w:cs="Times New Roman"/>
        </w:rPr>
        <w:t> (clearly stated by the seller or manufacturer) or </w:t>
      </w:r>
      <w:hyperlink r:id="rId31" w:anchor="P7000499191000000000000000005AD0" w:history="1">
        <w:r w:rsidRPr="00627338">
          <w:rPr>
            <w:rFonts w:ascii="inherit" w:eastAsia="Times New Roman" w:hAnsi="inherit" w:cs="Times New Roman"/>
            <w:b/>
            <w:bCs/>
            <w:color w:val="1E7AB9"/>
            <w:u w:val="single"/>
            <w:bdr w:val="none" w:sz="0" w:space="0" w:color="auto" w:frame="1"/>
          </w:rPr>
          <w:t>implied</w:t>
        </w:r>
      </w:hyperlink>
      <w:r w:rsidRPr="00627338">
        <w:rPr>
          <w:rFonts w:ascii="inherit" w:eastAsia="Times New Roman" w:hAnsi="inherit" w:cs="Times New Roman"/>
        </w:rPr>
        <w:t> (automatically arising out of a transaction). Either type may give rise to liability (see </w:t>
      </w:r>
      <w:hyperlink r:id="rId32" w:anchor="P7000499191000000000000000002AA2" w:history="1">
        <w:r w:rsidRPr="00627338">
          <w:rPr>
            <w:rFonts w:ascii="inherit" w:eastAsia="Times New Roman" w:hAnsi="inherit" w:cs="Times New Roman"/>
            <w:b/>
            <w:bCs/>
            <w:color w:val="1E7AB9"/>
            <w:bdr w:val="none" w:sz="0" w:space="0" w:color="auto" w:frame="1"/>
          </w:rPr>
          <w:t>Exhibit 12-3</w:t>
        </w:r>
      </w:hyperlink>
      <w:r w:rsidRPr="00627338">
        <w:rPr>
          <w:rFonts w:ascii="inherit" w:eastAsia="Times New Roman" w:hAnsi="inherit" w:cs="Times New Roman"/>
        </w:rPr>
        <w:t>). Two types of implied warranties may provide the basis for a product liability action: warranty of merchantability and warranty of fitness for a particular purpose.</w:t>
      </w:r>
    </w:p>
    <w:p w:rsidR="00627338" w:rsidRPr="00627338" w:rsidRDefault="00627338" w:rsidP="00627338">
      <w:pPr>
        <w:rPr>
          <w:rFonts w:ascii="Times New Roman" w:eastAsia="Times New Roman" w:hAnsi="Times New Roman" w:cs="Times New Roman"/>
        </w:rPr>
      </w:pPr>
      <w:r w:rsidRPr="00627338">
        <w:rPr>
          <w:rFonts w:ascii="Times New Roman" w:eastAsia="Times New Roman" w:hAnsi="Times New Roman" w:cs="Times New Roman"/>
        </w:rPr>
        <w:fldChar w:fldCharType="begin"/>
      </w:r>
      <w:r w:rsidRPr="00627338">
        <w:rPr>
          <w:rFonts w:ascii="Times New Roman" w:eastAsia="Times New Roman" w:hAnsi="Times New Roman" w:cs="Times New Roman"/>
        </w:rPr>
        <w:instrText xml:space="preserve"> INCLUDEPICTURE "/var/folders/92/ngx3jzzn1l9235qg2g9hmbzr0000gn/T/com.microsoft.Word/WebArchiveCopyPasteTempFiles/Exhibit_12.3.png" \* MERGEFORMATINET </w:instrText>
      </w:r>
      <w:r w:rsidRPr="00627338">
        <w:rPr>
          <w:rFonts w:ascii="Times New Roman" w:eastAsia="Times New Roman" w:hAnsi="Times New Roman" w:cs="Times New Roman"/>
        </w:rPr>
        <w:fldChar w:fldCharType="separate"/>
      </w:r>
      <w:r w:rsidRPr="00627338">
        <w:rPr>
          <w:rFonts w:ascii="Times New Roman" w:eastAsia="Times New Roman" w:hAnsi="Times New Roman" w:cs="Times New Roman"/>
          <w:noProof/>
        </w:rPr>
        <w:drawing>
          <wp:inline distT="0" distB="0" distL="0" distR="0">
            <wp:extent cx="5943600" cy="1198880"/>
            <wp:effectExtent l="0" t="0" r="0" b="0"/>
            <wp:docPr id="3" name="Picture 3" descr="/var/folders/92/ngx3jzzn1l9235qg2g9hmbzr0000gn/T/com.microsoft.Word/WebArchiveCopyPasteTempFiles/Exhibit_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919100000000000000000ED38" descr="/var/folders/92/ngx3jzzn1l9235qg2g9hmbzr0000gn/T/com.microsoft.Word/WebArchiveCopyPasteTempFiles/Exhibit_12.3.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1198880"/>
                    </a:xfrm>
                    <a:prstGeom prst="rect">
                      <a:avLst/>
                    </a:prstGeom>
                    <a:noFill/>
                    <a:ln>
                      <a:noFill/>
                    </a:ln>
                  </pic:spPr>
                </pic:pic>
              </a:graphicData>
            </a:graphic>
          </wp:inline>
        </w:drawing>
      </w:r>
      <w:r w:rsidRPr="00627338">
        <w:rPr>
          <w:rFonts w:ascii="Times New Roman" w:eastAsia="Times New Roman" w:hAnsi="Times New Roman" w:cs="Times New Roman"/>
        </w:rPr>
        <w:fldChar w:fldCharType="end"/>
      </w:r>
    </w:p>
    <w:p w:rsidR="00627338" w:rsidRPr="00627338" w:rsidRDefault="00627338" w:rsidP="00627338">
      <w:pPr>
        <w:textAlignment w:val="baseline"/>
        <w:outlineLvl w:val="0"/>
        <w:rPr>
          <w:rFonts w:ascii="inherit" w:eastAsia="Times New Roman" w:hAnsi="inherit" w:cs="Times New Roman"/>
          <w:b/>
          <w:bCs/>
          <w:color w:val="585858"/>
          <w:kern w:val="36"/>
        </w:rPr>
      </w:pPr>
      <w:r w:rsidRPr="00627338">
        <w:rPr>
          <w:rFonts w:ascii="inherit" w:eastAsia="Times New Roman" w:hAnsi="inherit" w:cs="Times New Roman"/>
          <w:b/>
          <w:bCs/>
          <w:color w:val="585858"/>
          <w:kern w:val="36"/>
        </w:rPr>
        <w:t>Exhibit 12-3 Warranties That May Give Rise To Liability</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b/>
          <w:bCs/>
          <w:i/>
          <w:iCs/>
          <w:color w:val="333333"/>
          <w:bdr w:val="none" w:sz="0" w:space="0" w:color="auto" w:frame="1"/>
        </w:rPr>
        <w:t>warranty </w:t>
      </w:r>
    </w:p>
    <w:p w:rsidR="00627338" w:rsidRPr="00627338" w:rsidRDefault="00627338" w:rsidP="00627338">
      <w:pPr>
        <w:ind w:left="720"/>
        <w:textAlignment w:val="baseline"/>
        <w:rPr>
          <w:rFonts w:ascii="inherit" w:eastAsia="Times New Roman" w:hAnsi="inherit" w:cs="Times New Roman"/>
        </w:rPr>
      </w:pPr>
      <w:r w:rsidRPr="00627338">
        <w:rPr>
          <w:rFonts w:ascii="inherit" w:eastAsia="Times New Roman" w:hAnsi="inherit" w:cs="Times New Roman"/>
        </w:rPr>
        <w:t>A guarantee or binding promise that goods (products) meet certain standards of performance.</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b/>
          <w:bCs/>
          <w:i/>
          <w:iCs/>
          <w:color w:val="333333"/>
          <w:bdr w:val="none" w:sz="0" w:space="0" w:color="auto" w:frame="1"/>
        </w:rPr>
        <w:t>express warranty </w:t>
      </w:r>
    </w:p>
    <w:p w:rsidR="00627338" w:rsidRPr="00627338" w:rsidRDefault="00627338" w:rsidP="00627338">
      <w:pPr>
        <w:ind w:left="720"/>
        <w:textAlignment w:val="baseline"/>
        <w:rPr>
          <w:rFonts w:ascii="inherit" w:eastAsia="Times New Roman" w:hAnsi="inherit" w:cs="Times New Roman"/>
        </w:rPr>
      </w:pPr>
      <w:r w:rsidRPr="00627338">
        <w:rPr>
          <w:rFonts w:ascii="inherit" w:eastAsia="Times New Roman" w:hAnsi="inherit" w:cs="Times New Roman"/>
        </w:rPr>
        <w:t>A warranty that is clearly stated by the seller or manufacturer.</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b/>
          <w:bCs/>
          <w:i/>
          <w:iCs/>
          <w:color w:val="333333"/>
          <w:bdr w:val="none" w:sz="0" w:space="0" w:color="auto" w:frame="1"/>
        </w:rPr>
        <w:t>implied warranty </w:t>
      </w:r>
    </w:p>
    <w:p w:rsidR="00627338" w:rsidRPr="00627338" w:rsidRDefault="00627338" w:rsidP="00627338">
      <w:pPr>
        <w:ind w:left="720"/>
        <w:textAlignment w:val="baseline"/>
        <w:rPr>
          <w:rFonts w:ascii="inherit" w:eastAsia="Times New Roman" w:hAnsi="inherit" w:cs="Times New Roman"/>
        </w:rPr>
      </w:pPr>
      <w:r w:rsidRPr="00627338">
        <w:rPr>
          <w:rFonts w:ascii="inherit" w:eastAsia="Times New Roman" w:hAnsi="inherit" w:cs="Times New Roman"/>
        </w:rPr>
        <w:t>A warranty that automatically arises out of a transaction.</w:t>
      </w:r>
    </w:p>
    <w:p w:rsidR="00627338" w:rsidRPr="00627338" w:rsidRDefault="00627338" w:rsidP="00627338">
      <w:pPr>
        <w:spacing w:before="228" w:after="114"/>
        <w:textAlignment w:val="baseline"/>
        <w:outlineLvl w:val="0"/>
        <w:rPr>
          <w:rFonts w:ascii="inherit" w:eastAsia="Times New Roman" w:hAnsi="inherit" w:cs="Times New Roman"/>
          <w:i/>
          <w:iCs/>
          <w:color w:val="585858"/>
          <w:kern w:val="36"/>
          <w:sz w:val="38"/>
          <w:szCs w:val="38"/>
        </w:rPr>
      </w:pPr>
      <w:r w:rsidRPr="00627338">
        <w:rPr>
          <w:rFonts w:ascii="inherit" w:eastAsia="Times New Roman" w:hAnsi="inherit" w:cs="Times New Roman"/>
          <w:i/>
          <w:iCs/>
          <w:color w:val="585858"/>
          <w:kern w:val="36"/>
          <w:sz w:val="38"/>
          <w:szCs w:val="38"/>
        </w:rPr>
        <w:t>Implied Warranty of Merchantability</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 </w:t>
      </w:r>
      <w:r w:rsidRPr="00627338">
        <w:rPr>
          <w:rFonts w:ascii="inherit" w:eastAsia="Times New Roman" w:hAnsi="inherit" w:cs="Times New Roman"/>
        </w:rPr>
        <w:t>The </w:t>
      </w:r>
      <w:hyperlink r:id="rId34" w:anchor="P7000499191000000000000000005AD6" w:history="1">
        <w:r w:rsidRPr="00627338">
          <w:rPr>
            <w:rFonts w:ascii="inherit" w:eastAsia="Times New Roman" w:hAnsi="inherit" w:cs="Times New Roman"/>
            <w:b/>
            <w:bCs/>
            <w:color w:val="1E7AB9"/>
            <w:u w:val="single"/>
            <w:bdr w:val="none" w:sz="0" w:space="0" w:color="auto" w:frame="1"/>
          </w:rPr>
          <w:t>implied warranty of merchantability</w:t>
        </w:r>
      </w:hyperlink>
      <w:r w:rsidRPr="00627338">
        <w:rPr>
          <w:rFonts w:ascii="inherit" w:eastAsia="Times New Roman" w:hAnsi="inherit" w:cs="Times New Roman"/>
        </w:rPr>
        <w:t> is a warranty or guarantee that the goods are reasonably fit for ordinary use. This warranty arises out of every sale, unless it is expressly and clearly excluded. According to the UCC, to meet the standard of merchantability, the goods</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b/>
          <w:bCs/>
          <w:i/>
          <w:iCs/>
          <w:color w:val="333333"/>
          <w:bdr w:val="none" w:sz="0" w:space="0" w:color="auto" w:frame="1"/>
        </w:rPr>
        <w:t>implied warranty of merchantability </w:t>
      </w:r>
    </w:p>
    <w:p w:rsidR="00627338" w:rsidRPr="00627338" w:rsidRDefault="00627338" w:rsidP="00627338">
      <w:pPr>
        <w:ind w:left="720"/>
        <w:textAlignment w:val="baseline"/>
        <w:rPr>
          <w:rFonts w:ascii="inherit" w:eastAsia="Times New Roman" w:hAnsi="inherit" w:cs="Times New Roman"/>
        </w:rPr>
      </w:pPr>
      <w:r w:rsidRPr="00627338">
        <w:rPr>
          <w:rFonts w:ascii="inherit" w:eastAsia="Times New Roman" w:hAnsi="inherit" w:cs="Times New Roman"/>
        </w:rPr>
        <w:t>A warranty that a good is reasonably fit for ordinary use.</w:t>
      </w:r>
    </w:p>
    <w:p w:rsidR="00627338" w:rsidRPr="00627338" w:rsidRDefault="00627338" w:rsidP="00627338">
      <w:pPr>
        <w:numPr>
          <w:ilvl w:val="0"/>
          <w:numId w:val="1"/>
        </w:numPr>
        <w:textAlignment w:val="baseline"/>
        <w:rPr>
          <w:rFonts w:ascii="inherit" w:eastAsia="Times New Roman" w:hAnsi="inherit" w:cs="Times New Roman"/>
        </w:rPr>
      </w:pPr>
      <w:r w:rsidRPr="00627338">
        <w:rPr>
          <w:rFonts w:ascii="inherit" w:eastAsia="Times New Roman" w:hAnsi="inherit" w:cs="Times New Roman"/>
        </w:rPr>
        <w:t>must pass without objection in the trade under the contract description;</w:t>
      </w:r>
    </w:p>
    <w:p w:rsidR="00627338" w:rsidRPr="00627338" w:rsidRDefault="00627338" w:rsidP="00627338">
      <w:pPr>
        <w:numPr>
          <w:ilvl w:val="0"/>
          <w:numId w:val="1"/>
        </w:numPr>
        <w:textAlignment w:val="baseline"/>
        <w:rPr>
          <w:rFonts w:ascii="inherit" w:eastAsia="Times New Roman" w:hAnsi="inherit" w:cs="Times New Roman"/>
        </w:rPr>
      </w:pPr>
      <w:r w:rsidRPr="00627338">
        <w:rPr>
          <w:rFonts w:ascii="inherit" w:eastAsia="Times New Roman" w:hAnsi="inherit" w:cs="Times New Roman"/>
        </w:rPr>
        <w:t>must be of fair or average quality within the description;</w:t>
      </w:r>
    </w:p>
    <w:p w:rsidR="00627338" w:rsidRPr="00627338" w:rsidRDefault="00627338" w:rsidP="00627338">
      <w:pPr>
        <w:numPr>
          <w:ilvl w:val="0"/>
          <w:numId w:val="1"/>
        </w:numPr>
        <w:textAlignment w:val="baseline"/>
        <w:rPr>
          <w:rFonts w:ascii="inherit" w:eastAsia="Times New Roman" w:hAnsi="inherit" w:cs="Times New Roman"/>
        </w:rPr>
      </w:pPr>
      <w:r w:rsidRPr="00627338">
        <w:rPr>
          <w:rFonts w:ascii="inherit" w:eastAsia="Times New Roman" w:hAnsi="inherit" w:cs="Times New Roman"/>
        </w:rPr>
        <w:t>must be fit for the ordinary purpose for which the goods are used;</w:t>
      </w:r>
    </w:p>
    <w:p w:rsidR="00627338" w:rsidRPr="00627338" w:rsidRDefault="00627338" w:rsidP="00627338">
      <w:pPr>
        <w:numPr>
          <w:ilvl w:val="0"/>
          <w:numId w:val="1"/>
        </w:numPr>
        <w:textAlignment w:val="baseline"/>
        <w:rPr>
          <w:rFonts w:ascii="inherit" w:eastAsia="Times New Roman" w:hAnsi="inherit" w:cs="Times New Roman"/>
        </w:rPr>
      </w:pPr>
      <w:r w:rsidRPr="00627338">
        <w:rPr>
          <w:rFonts w:ascii="inherit" w:eastAsia="Times New Roman" w:hAnsi="inherit" w:cs="Times New Roman"/>
        </w:rPr>
        <w:t>must run, with variations permitted by agreement, of even kind, quality, and quantity within each unit and among all units involved;</w:t>
      </w:r>
    </w:p>
    <w:p w:rsidR="00627338" w:rsidRPr="00627338" w:rsidRDefault="00627338" w:rsidP="00627338">
      <w:pPr>
        <w:numPr>
          <w:ilvl w:val="0"/>
          <w:numId w:val="1"/>
        </w:numPr>
        <w:textAlignment w:val="baseline"/>
        <w:rPr>
          <w:rFonts w:ascii="inherit" w:eastAsia="Times New Roman" w:hAnsi="inherit" w:cs="Times New Roman"/>
        </w:rPr>
      </w:pPr>
      <w:r w:rsidRPr="00627338">
        <w:rPr>
          <w:rFonts w:ascii="inherit" w:eastAsia="Times New Roman" w:hAnsi="inherit" w:cs="Times New Roman"/>
        </w:rPr>
        <w:t>must be adequately contained, packaged, and labeled as the agreement may require; and</w:t>
      </w:r>
    </w:p>
    <w:p w:rsidR="00627338" w:rsidRPr="00627338" w:rsidRDefault="00627338" w:rsidP="00627338">
      <w:pPr>
        <w:numPr>
          <w:ilvl w:val="0"/>
          <w:numId w:val="1"/>
        </w:numPr>
        <w:textAlignment w:val="baseline"/>
        <w:rPr>
          <w:rFonts w:ascii="inherit" w:eastAsia="Times New Roman" w:hAnsi="inherit" w:cs="Times New Roman"/>
        </w:rPr>
      </w:pPr>
      <w:r w:rsidRPr="00627338">
        <w:rPr>
          <w:rFonts w:ascii="inherit" w:eastAsia="Times New Roman" w:hAnsi="inherit" w:cs="Times New Roman"/>
        </w:rPr>
        <w:t>must conform to any affirmations or promises made on the label or the container.</w:t>
      </w:r>
      <w:hyperlink r:id="rId35" w:anchor="P7000499191000000000000000002C54" w:history="1">
        <w:r w:rsidRPr="00627338">
          <w:rPr>
            <w:rFonts w:ascii="inherit" w:eastAsia="Times New Roman" w:hAnsi="inherit" w:cs="Times New Roman"/>
            <w:b/>
            <w:bCs/>
            <w:color w:val="1E7AB9"/>
            <w:sz w:val="14"/>
            <w:szCs w:val="14"/>
            <w:u w:val="single"/>
            <w:bdr w:val="none" w:sz="0" w:space="0" w:color="auto" w:frame="1"/>
            <w:vertAlign w:val="superscript"/>
          </w:rPr>
          <w:t>10</w:t>
        </w:r>
      </w:hyperlink>
    </w:p>
    <w:p w:rsidR="00627338" w:rsidRPr="00627338" w:rsidRDefault="00627338" w:rsidP="00627338">
      <w:pPr>
        <w:ind w:left="720"/>
        <w:textAlignment w:val="baseline"/>
        <w:rPr>
          <w:rFonts w:ascii="inherit" w:eastAsia="Times New Roman" w:hAnsi="inherit" w:cs="Times New Roman"/>
        </w:rPr>
      </w:pPr>
      <w:hyperlink r:id="rId36" w:anchor="r__P7000499191000000000000000002C54" w:history="1">
        <w:r w:rsidRPr="00627338">
          <w:rPr>
            <w:rFonts w:ascii="inherit" w:eastAsia="Times New Roman" w:hAnsi="inherit" w:cs="Times New Roman"/>
            <w:b/>
            <w:bCs/>
            <w:color w:val="1E7AB9"/>
            <w:u w:val="single"/>
            <w:bdr w:val="none" w:sz="0" w:space="0" w:color="auto" w:frame="1"/>
          </w:rPr>
          <w:t>10</w:t>
        </w:r>
        <w:r w:rsidRPr="00627338">
          <w:rPr>
            <w:rFonts w:ascii="inherit" w:eastAsia="Times New Roman" w:hAnsi="inherit" w:cs="Times New Roman"/>
            <w:b/>
            <w:bCs/>
            <w:color w:val="1E7AB9"/>
            <w:bdr w:val="none" w:sz="0" w:space="0" w:color="auto" w:frame="1"/>
          </w:rPr>
          <w:t> </w:t>
        </w:r>
      </w:hyperlink>
      <w:r w:rsidRPr="00627338">
        <w:rPr>
          <w:rFonts w:ascii="inherit" w:eastAsia="Times New Roman" w:hAnsi="inherit" w:cs="Times New Roman"/>
        </w:rPr>
        <w:t>Uniform Commercial Code, UCC § 2-314.</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 xml:space="preserve">If the product does not conform to those standards and, as a result of this nonconformity, the purchaser or his or her property is injured, the purchaser may recover for breach of implied warranty of merchantability. For example, some health care workers are using this theory to try to recover damages because they have developed latex protein toxic syndrome. When HIV rates began climbing, health workers uniformly used latex gloves to prevent transmission of the disease. Some health workers, however, started to develop an allergy to the proteins in the rubber latex. For some people, the allergy became so severe that they could not tolerate being in a room with a single latex balloon; consequently, they </w:t>
      </w:r>
      <w:r w:rsidRPr="00627338">
        <w:rPr>
          <w:rFonts w:ascii="inherit" w:eastAsia="Times New Roman" w:hAnsi="inherit" w:cs="Times New Roman"/>
        </w:rPr>
        <w:lastRenderedPageBreak/>
        <w:t>could no longer work in a profession that required them to wear latex gloves. These plaintiffs argue that glove manufacturers knew of the dangers of latex allergies but did not attempt to minimize the amount of protein in the gloves.</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The UCC expressly provides that an injury to a person or property proximately caused by a breach of warranty is a recoverable type of consequential damage. The use of this warranty is limited, however, in two respects: (1) It is made only by one regularly engaged in the sale of that type of good, and (2) the seller may sometimes avoid liability by expressly disclaiming liability or by limiting liability to replacement of the defective goods. The UCC, however, has restricted applicability of the latter limitation by a provision declaring that a limitation of consequential damages for injury to a person in the case of consumer goods is prima facie “unconscionable.” </w:t>
      </w:r>
      <w:r w:rsidRPr="00627338">
        <w:rPr>
          <w:rFonts w:ascii="inherit" w:eastAsia="Times New Roman" w:hAnsi="inherit" w:cs="Times New Roman"/>
          <w:i/>
          <w:iCs/>
          <w:bdr w:val="none" w:sz="0" w:space="0" w:color="auto" w:frame="1"/>
        </w:rPr>
        <w:t>Unconscionability</w:t>
      </w:r>
      <w:r w:rsidRPr="00627338">
        <w:rPr>
          <w:rFonts w:ascii="inherit" w:eastAsia="Times New Roman" w:hAnsi="inherit" w:cs="Times New Roman"/>
        </w:rPr>
        <w:t> is a concept meaning gross unfairness. Under the UCC, unconscionable contract clauses are unenforceable. Thus, if a disclaimer is unconscionable, it will not be enforced.</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Privity is not a problem in an action based on breach of warranty, because of UCC Section 2-318. This section allows states to adopt one of three alternatives to allow nonpurchasers to recover for breach of warranty. The most liberal alternative allows any person injured by the defective product to sue. One issue that frequently arises in product liability cases involving breach of the warranty </w:t>
      </w:r>
    </w:p>
    <w:p w:rsidR="00627338" w:rsidRPr="00627338" w:rsidRDefault="00627338" w:rsidP="00627338">
      <w:pPr>
        <w:spacing w:line="456" w:lineRule="atLeast"/>
        <w:textAlignment w:val="baseline"/>
        <w:outlineLvl w:val="0"/>
        <w:rPr>
          <w:rFonts w:ascii="inherit" w:eastAsia="Times New Roman" w:hAnsi="inherit" w:cs="Times New Roman"/>
          <w:color w:val="333333"/>
          <w:kern w:val="36"/>
          <w:sz w:val="38"/>
          <w:szCs w:val="38"/>
        </w:rPr>
      </w:pPr>
      <w:r w:rsidRPr="00627338">
        <w:rPr>
          <w:rFonts w:ascii="inherit" w:eastAsia="Times New Roman" w:hAnsi="inherit" w:cs="Times New Roman"/>
          <w:color w:val="333333"/>
          <w:kern w:val="36"/>
          <w:sz w:val="38"/>
          <w:szCs w:val="38"/>
        </w:rPr>
        <w:t>Comparative Law Corner Warranties and Guarantees in the United Kingdom</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Product liability laws in the United Kingdom are similar to many laws in the United States. There is a difference, however, in some of the language used to describe those laws. A consumer may sue under breach of implied or express warranty in the United States. In the United Kingdom, a </w:t>
      </w:r>
      <w:r w:rsidRPr="00627338">
        <w:rPr>
          <w:rFonts w:ascii="inherit" w:eastAsia="Times New Roman" w:hAnsi="inherit" w:cs="Times New Roman"/>
          <w:i/>
          <w:iCs/>
          <w:bdr w:val="none" w:sz="0" w:space="0" w:color="auto" w:frame="1"/>
        </w:rPr>
        <w:t>warranty</w:t>
      </w:r>
      <w:r w:rsidRPr="00627338">
        <w:rPr>
          <w:rFonts w:ascii="inherit" w:eastAsia="Times New Roman" w:hAnsi="inherit" w:cs="Times New Roman"/>
        </w:rPr>
        <w:t> is a legally binding assurance that any manufacturing defects that appear in a product during a certain time period will be addressed. The consumer buys the warranty and it serves as an insurance policy for the product.</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A guarantee in the United Kingdom is similar to an express warranty in the United States. A </w:t>
      </w:r>
      <w:r w:rsidRPr="00627338">
        <w:rPr>
          <w:rFonts w:ascii="inherit" w:eastAsia="Times New Roman" w:hAnsi="inherit" w:cs="Times New Roman"/>
          <w:i/>
          <w:iCs/>
          <w:bdr w:val="none" w:sz="0" w:space="0" w:color="auto" w:frame="1"/>
        </w:rPr>
        <w:t>guarantee</w:t>
      </w:r>
      <w:r w:rsidRPr="00627338">
        <w:rPr>
          <w:rFonts w:ascii="inherit" w:eastAsia="Times New Roman" w:hAnsi="inherit" w:cs="Times New Roman"/>
        </w:rPr>
        <w:t> is a free promise made to the consumer by the producer to repair any manufacturing problems found within a certain amount of time. Guarantees are also legally binding.</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A consumer who would sue under breach of implied warranty in the United States would sue under breach of contract under the Sale of Goods Act in the United Kingdom. If a product is not fit for its purpose or not of satisfactory quality, problems covered by implied warranties in the United States, the Sale of Goods Act would apply in the United Kingdom. These legal distinctions are important to know before doing business or purchasing goods in the United Kingdom.</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of merchantability is whether this warranty is breached when the alleged breach arises from a naturally occurring characteristic of the product. This problem typically arises in cases involving food. Is it a breach of the warranty of merchantability when there is a bone in a fish fillet or a pit in an olive jar labeled “pitted olives?” The following case sets forth the two tests that are used in various jurisdictions.</w:t>
      </w:r>
    </w:p>
    <w:p w:rsidR="00627338" w:rsidRPr="00627338" w:rsidRDefault="00627338" w:rsidP="00627338">
      <w:pPr>
        <w:spacing w:before="285" w:after="285" w:line="285" w:lineRule="atLeast"/>
        <w:textAlignment w:val="baseline"/>
        <w:outlineLvl w:val="0"/>
        <w:rPr>
          <w:rFonts w:ascii="inherit" w:eastAsia="Times New Roman" w:hAnsi="inherit" w:cs="Times New Roman"/>
          <w:b/>
          <w:bCs/>
          <w:color w:val="CC6600"/>
          <w:kern w:val="36"/>
          <w:sz w:val="30"/>
          <w:szCs w:val="30"/>
        </w:rPr>
      </w:pPr>
      <w:r w:rsidRPr="00627338">
        <w:rPr>
          <w:rFonts w:ascii="inherit" w:eastAsia="Times New Roman" w:hAnsi="inherit" w:cs="Times New Roman"/>
          <w:b/>
          <w:bCs/>
          <w:color w:val="CC6600"/>
          <w:kern w:val="36"/>
          <w:sz w:val="30"/>
          <w:szCs w:val="30"/>
        </w:rPr>
        <w:lastRenderedPageBreak/>
        <w:fldChar w:fldCharType="begin"/>
      </w:r>
      <w:r w:rsidRPr="00627338">
        <w:rPr>
          <w:rFonts w:ascii="inherit" w:eastAsia="Times New Roman" w:hAnsi="inherit" w:cs="Times New Roman"/>
          <w:b/>
          <w:bCs/>
          <w:color w:val="CC6600"/>
          <w:kern w:val="36"/>
          <w:sz w:val="30"/>
          <w:szCs w:val="30"/>
        </w:rPr>
        <w:instrText xml:space="preserve"> INCLUDEPICTURE "/var/folders/92/ngx3jzzn1l9235qg2g9hmbzr0000gn/T/com.microsoft.Word/WebArchiveCopyPasteTempFiles/Fotolia_47747980_Subscription_Monthly_XXL.png" \* MERGEFORMATINET </w:instrText>
      </w:r>
      <w:r w:rsidRPr="00627338">
        <w:rPr>
          <w:rFonts w:ascii="inherit" w:eastAsia="Times New Roman" w:hAnsi="inherit" w:cs="Times New Roman"/>
          <w:b/>
          <w:bCs/>
          <w:color w:val="CC6600"/>
          <w:kern w:val="36"/>
          <w:sz w:val="30"/>
          <w:szCs w:val="30"/>
        </w:rPr>
        <w:fldChar w:fldCharType="separate"/>
      </w:r>
      <w:r w:rsidRPr="00627338">
        <w:rPr>
          <w:rFonts w:ascii="inherit" w:eastAsia="Times New Roman" w:hAnsi="inherit" w:cs="Times New Roman"/>
          <w:b/>
          <w:bCs/>
          <w:noProof/>
          <w:color w:val="CC6600"/>
          <w:kern w:val="36"/>
          <w:sz w:val="30"/>
          <w:szCs w:val="30"/>
        </w:rPr>
        <w:drawing>
          <wp:inline distT="0" distB="0" distL="0" distR="0">
            <wp:extent cx="1352550" cy="1429385"/>
            <wp:effectExtent l="0" t="0" r="6350" b="5715"/>
            <wp:docPr id="2" name="Picture 2" descr="/var/folders/92/ngx3jzzn1l9235qg2g9hmbzr0000gn/T/com.microsoft.Word/WebArchiveCopyPasteTempFiles/Fotolia_47747980_Subscription_Monthly_X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919100000000000000000ED67" descr="/var/folders/92/ngx3jzzn1l9235qg2g9hmbzr0000gn/T/com.microsoft.Word/WebArchiveCopyPasteTempFiles/Fotolia_47747980_Subscription_Monthly_XXL.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2550" cy="1429385"/>
                    </a:xfrm>
                    <a:prstGeom prst="rect">
                      <a:avLst/>
                    </a:prstGeom>
                    <a:noFill/>
                    <a:ln>
                      <a:noFill/>
                    </a:ln>
                  </pic:spPr>
                </pic:pic>
              </a:graphicData>
            </a:graphic>
          </wp:inline>
        </w:drawing>
      </w:r>
      <w:r w:rsidRPr="00627338">
        <w:rPr>
          <w:rFonts w:ascii="inherit" w:eastAsia="Times New Roman" w:hAnsi="inherit" w:cs="Times New Roman"/>
          <w:b/>
          <w:bCs/>
          <w:color w:val="CC6600"/>
          <w:kern w:val="36"/>
          <w:sz w:val="30"/>
          <w:szCs w:val="30"/>
        </w:rPr>
        <w:fldChar w:fldCharType="end"/>
      </w:r>
      <w:r w:rsidRPr="00627338">
        <w:rPr>
          <w:rFonts w:ascii="inherit" w:eastAsia="Times New Roman" w:hAnsi="inherit" w:cs="Times New Roman"/>
          <w:b/>
          <w:bCs/>
          <w:color w:val="CC6600"/>
          <w:kern w:val="36"/>
          <w:sz w:val="30"/>
          <w:szCs w:val="30"/>
        </w:rPr>
        <w:t> Case 12-2 Williams v. Braum Ice Cream Stores, Inc.</w:t>
      </w:r>
    </w:p>
    <w:p w:rsidR="00627338" w:rsidRPr="00627338" w:rsidRDefault="00627338" w:rsidP="00627338">
      <w:pPr>
        <w:textAlignment w:val="baseline"/>
        <w:rPr>
          <w:rFonts w:ascii="inherit" w:eastAsia="Times New Roman" w:hAnsi="inherit" w:cs="Times New Roman"/>
          <w:color w:val="468173"/>
        </w:rPr>
      </w:pPr>
      <w:r w:rsidRPr="00627338">
        <w:rPr>
          <w:rFonts w:ascii="inherit" w:eastAsia="Times New Roman" w:hAnsi="inherit" w:cs="Times New Roman"/>
          <w:color w:val="468173"/>
        </w:rPr>
        <w:t>Oklahoma Court of Appeals 534 P.2d 700 (1974)</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Plaintiff Williams purchased a cherry pecan ice cream cone from the defendant’s shop. While eating the ice cream, she broke her tooth on a cherry pit that was in the ice cream. She sued defendant Braum Ice Cream Stores, Inc., for breach of implied warranty of merchantability. The trial court ruled in favor of the defendant, and the plaintiff appealed.</w:t>
      </w:r>
    </w:p>
    <w:p w:rsidR="00627338" w:rsidRPr="00627338" w:rsidRDefault="00627338" w:rsidP="00627338">
      <w:pPr>
        <w:spacing w:before="360"/>
        <w:textAlignment w:val="baseline"/>
        <w:outlineLvl w:val="0"/>
        <w:rPr>
          <w:rFonts w:ascii="inherit" w:eastAsia="Times New Roman" w:hAnsi="inherit" w:cs="Times New Roman"/>
          <w:i/>
          <w:iCs/>
          <w:color w:val="585858"/>
          <w:kern w:val="36"/>
        </w:rPr>
      </w:pPr>
      <w:r w:rsidRPr="00627338">
        <w:rPr>
          <w:rFonts w:ascii="inherit" w:eastAsia="Times New Roman" w:hAnsi="inherit" w:cs="Times New Roman"/>
          <w:i/>
          <w:iCs/>
          <w:color w:val="585858"/>
          <w:kern w:val="36"/>
        </w:rPr>
        <w:t>Judge Reynolds</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There is a division of authority as to the test to be applied where injury is suffered from an object in food or drink sold to be consumed on or off the premises. Some courts hold there is no breach of implied warranty on the part of a restaurant if the object in the food was “natural” to the food served. These jurisdictions recognize that the vendor is held to impliedly warrant the fitness of food, or that he may be liable in negligence in failing to use ordinary care in its preparation, but deny recovery as a matter of law when the substance found in the food is natural to the ingredients of the type of food served. This rule, labeled the “foreign-natural test” by many jurists, is predicated on the view that the practical difficulties of separation of ingredients in the course of food preparation (bones from meat or fish, seeds from fruit, and nutshell from the nut meat) is a matter of common knowledge. Under this natural theory, there may be a recovery only if the object is “foreign” to the food served. How far can the “foreign-natural test” be expanded? How many bones from meat or fish, seeds from fruit, nutshells from the nut meat or other natural indigestible substances are unacceptable under the “foreign-natural test”?</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The other line of authorities hold[s] that the test to be applied is what should “reasonably be expected” by a customer in the food sold to him.</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[State law] provides in pertinent part as follows:</w:t>
      </w:r>
    </w:p>
    <w:p w:rsidR="00627338" w:rsidRPr="00627338" w:rsidRDefault="00627338" w:rsidP="00627338">
      <w:pPr>
        <w:numPr>
          <w:ilvl w:val="0"/>
          <w:numId w:val="2"/>
        </w:numPr>
        <w:textAlignment w:val="baseline"/>
        <w:rPr>
          <w:rFonts w:ascii="inherit" w:eastAsia="Times New Roman" w:hAnsi="inherit" w:cs="Times New Roman"/>
        </w:rPr>
      </w:pPr>
      <w:r w:rsidRPr="00627338">
        <w:rPr>
          <w:rFonts w:ascii="inherit" w:eastAsia="Times New Roman" w:hAnsi="inherit" w:cs="Times New Roman"/>
        </w:rPr>
        <w:t>. . . a warranty that the goods shall be merchantable is implied in a contract for their sale if the seller is a merchant with respect to goods of that kind. Under this section, the serving for value of food or drink to be consumed either on the premises or elsewhere is a sale.</w:t>
      </w:r>
    </w:p>
    <w:p w:rsidR="00627338" w:rsidRPr="00627338" w:rsidRDefault="00627338" w:rsidP="00627338">
      <w:pPr>
        <w:numPr>
          <w:ilvl w:val="0"/>
          <w:numId w:val="2"/>
        </w:numPr>
        <w:textAlignment w:val="baseline"/>
        <w:rPr>
          <w:rFonts w:ascii="inherit" w:eastAsia="Times New Roman" w:hAnsi="inherit" w:cs="Times New Roman"/>
        </w:rPr>
      </w:pPr>
      <w:r w:rsidRPr="00627338">
        <w:rPr>
          <w:rFonts w:ascii="inherit" w:eastAsia="Times New Roman" w:hAnsi="inherit" w:cs="Times New Roman"/>
        </w:rPr>
        <w:t>Goods to be merchantable must be at least such as</w:t>
      </w:r>
    </w:p>
    <w:p w:rsidR="00627338" w:rsidRPr="00627338" w:rsidRDefault="00627338" w:rsidP="00627338">
      <w:pPr>
        <w:numPr>
          <w:ilvl w:val="1"/>
          <w:numId w:val="2"/>
        </w:numPr>
        <w:textAlignment w:val="baseline"/>
        <w:rPr>
          <w:rFonts w:ascii="inherit" w:eastAsia="Times New Roman" w:hAnsi="inherit" w:cs="Times New Roman"/>
        </w:rPr>
      </w:pPr>
      <w:r w:rsidRPr="00627338">
        <w:rPr>
          <w:rFonts w:ascii="inherit" w:eastAsia="Times New Roman" w:hAnsi="inherit" w:cs="Times New Roman"/>
        </w:rPr>
        <w:t>are fit for the ordinary purposes for which such goods are used; . . . In </w:t>
      </w:r>
      <w:r w:rsidRPr="00627338">
        <w:rPr>
          <w:rFonts w:ascii="inherit" w:eastAsia="Times New Roman" w:hAnsi="inherit" w:cs="Times New Roman"/>
          <w:i/>
          <w:iCs/>
          <w:bdr w:val="none" w:sz="0" w:space="0" w:color="auto" w:frame="1"/>
        </w:rPr>
        <w:t>Zabner v. Howard Johnson’s Inc</w:t>
      </w:r>
      <w:r w:rsidRPr="00627338">
        <w:rPr>
          <w:rFonts w:ascii="inherit" w:eastAsia="Times New Roman" w:hAnsi="inherit" w:cs="Times New Roman"/>
        </w:rPr>
        <w:t>. . . . the Court held:</w:t>
      </w:r>
    </w:p>
    <w:p w:rsidR="00627338" w:rsidRPr="00627338" w:rsidRDefault="00627338" w:rsidP="00627338">
      <w:pPr>
        <w:spacing w:line="428" w:lineRule="atLeast"/>
        <w:ind w:left="1440"/>
        <w:textAlignment w:val="baseline"/>
        <w:rPr>
          <w:rFonts w:ascii="inherit" w:eastAsia="Times New Roman" w:hAnsi="inherit" w:cs="Times New Roman"/>
          <w:sz w:val="21"/>
          <w:szCs w:val="21"/>
        </w:rPr>
      </w:pPr>
      <w:r w:rsidRPr="00627338">
        <w:rPr>
          <w:rFonts w:ascii="inherit" w:eastAsia="Times New Roman" w:hAnsi="inherit" w:cs="Times New Roman"/>
          <w:i/>
          <w:iCs/>
          <w:sz w:val="21"/>
          <w:szCs w:val="21"/>
          <w:bdr w:val="none" w:sz="0" w:space="0" w:color="auto" w:frame="1"/>
        </w:rPr>
        <w:lastRenderedPageBreak/>
        <w:t>The “foreign-natural” test as applied as a matter of law by the trial court does not recommend itself to us as being logical or desirable. The reasoning applied in this test is fallacious because it assumes that all substances which are natural to the food in one stage or another of preparation are, in fact, anticipated by the average consumer in the final product served. . . .</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Categorizing a substance as foreign or natural may have some importance in determining the degree of negligence of the processor of food, but it is not determinative of what is unfit or harmful in fact for human consumption. A nutshell natural to nut meat can cause as much harm as a foreign substance, such as a pebble, piece of wire, or glass. All are indigestible and likely to cause injury. Naturalness of the substance to any ingredients in the food served is important only in determining whether the consumer may reasonably expect to find such substance in the particular type of dish or style of food served.</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The “reasonable expectation” test as applied to an action for breach of implied warranty is keyed to what is “reasonably” fit. If it is found that the pit of a cherry should be anticipated in cherry-pecan ice cream and guarded against by the consumer, then the ice cream was reasonably fit under the implied warranty.</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In some instances, objects which are “natural” to the type of food but which are generally not found in the style of the food as prepared, are held to be the equivalent of a foreign substance.</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We hold that the better legal theory to be applied in such cases is the “reasonable expectation” theory, rather than the “naturalness” theory as applied by the trial court. What should be reasonably expected by the consumer is a jury question, and the question of whether plaintiff acted in a reasonable manner in eating the ice cream cone is also a fact question to be decided by the jury.</w:t>
      </w:r>
      <w:hyperlink r:id="rId37" w:anchor="P7000499191000000000000000002C6A" w:history="1">
        <w:r w:rsidRPr="00627338">
          <w:rPr>
            <w:rFonts w:ascii="inherit" w:eastAsia="Times New Roman" w:hAnsi="inherit" w:cs="Times New Roman"/>
            <w:b/>
            <w:bCs/>
            <w:color w:val="1E7AB9"/>
            <w:sz w:val="12"/>
            <w:szCs w:val="12"/>
            <w:u w:val="single"/>
            <w:bdr w:val="none" w:sz="0" w:space="0" w:color="auto" w:frame="1"/>
            <w:vertAlign w:val="superscript"/>
          </w:rPr>
          <w:t>*</w:t>
        </w:r>
      </w:hyperlink>
    </w:p>
    <w:p w:rsidR="00627338" w:rsidRPr="00627338" w:rsidRDefault="00627338" w:rsidP="00627338">
      <w:pPr>
        <w:textAlignment w:val="baseline"/>
        <w:rPr>
          <w:rFonts w:ascii="inherit" w:eastAsia="Times New Roman" w:hAnsi="inherit" w:cs="Times New Roman"/>
          <w:i/>
          <w:iCs/>
          <w:sz w:val="17"/>
          <w:szCs w:val="17"/>
        </w:rPr>
      </w:pPr>
      <w:r w:rsidRPr="00627338">
        <w:rPr>
          <w:rFonts w:ascii="inherit" w:eastAsia="Times New Roman" w:hAnsi="inherit" w:cs="Times New Roman"/>
          <w:i/>
          <w:iCs/>
          <w:sz w:val="17"/>
          <w:szCs w:val="17"/>
          <w:bdr w:val="none" w:sz="0" w:space="0" w:color="auto" w:frame="1"/>
        </w:rPr>
        <w:t>Reversed</w:t>
      </w:r>
      <w:r w:rsidRPr="00627338">
        <w:rPr>
          <w:rFonts w:ascii="inherit" w:eastAsia="Times New Roman" w:hAnsi="inherit" w:cs="Times New Roman"/>
          <w:i/>
          <w:iCs/>
          <w:sz w:val="17"/>
          <w:szCs w:val="17"/>
        </w:rPr>
        <w:t> and </w:t>
      </w:r>
      <w:r w:rsidRPr="00627338">
        <w:rPr>
          <w:rFonts w:ascii="inherit" w:eastAsia="Times New Roman" w:hAnsi="inherit" w:cs="Times New Roman"/>
          <w:i/>
          <w:iCs/>
          <w:sz w:val="17"/>
          <w:szCs w:val="17"/>
          <w:bdr w:val="none" w:sz="0" w:space="0" w:color="auto" w:frame="1"/>
        </w:rPr>
        <w:t>remanded</w:t>
      </w:r>
      <w:r w:rsidRPr="00627338">
        <w:rPr>
          <w:rFonts w:ascii="inherit" w:eastAsia="Times New Roman" w:hAnsi="inherit" w:cs="Times New Roman"/>
          <w:i/>
          <w:iCs/>
          <w:sz w:val="17"/>
          <w:szCs w:val="17"/>
        </w:rPr>
        <w:t> in favor of Plaintiff, Williams.</w:t>
      </w:r>
    </w:p>
    <w:p w:rsidR="00627338" w:rsidRPr="00627338" w:rsidRDefault="00627338" w:rsidP="00627338">
      <w:pPr>
        <w:spacing w:before="285" w:after="142"/>
        <w:textAlignment w:val="baseline"/>
        <w:outlineLvl w:val="0"/>
        <w:rPr>
          <w:rFonts w:ascii="inherit" w:eastAsia="Times New Roman" w:hAnsi="inherit" w:cs="Times New Roman"/>
          <w:color w:val="585858"/>
          <w:kern w:val="36"/>
          <w:sz w:val="30"/>
          <w:szCs w:val="30"/>
        </w:rPr>
      </w:pPr>
      <w:r w:rsidRPr="00627338">
        <w:rPr>
          <w:rFonts w:ascii="inherit" w:eastAsia="Times New Roman" w:hAnsi="inherit" w:cs="Times New Roman"/>
          <w:color w:val="585858"/>
          <w:kern w:val="36"/>
          <w:sz w:val="30"/>
          <w:szCs w:val="30"/>
        </w:rPr>
        <w:t>Critical Thinking About The Law </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The criteria selected are important in determining the outcome of a case. Put simply, depending on the court’s selection from many possible criteria, it can reach multiple conclusions. Judging a case according to criteria X, Y, and Z can yield a vastly different decision than if the same case were judged according to criteria A, B, and C.</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Case 12-2 illustrates the foregoing assertion. The trial court had made a legal decision based on criterion X, namely, the “foreign-natural” test. The appeals court, however, held that the trial court must redecide the case, this time on the basis of criterion Y, or the “reasonable expectation” test.</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lastRenderedPageBreak/>
        <w:t>The critical thinking questions enable you to examine carefully the key differences between the two tests, including the possible implications. The larger project of the questions is to increase your awareness of the extent to which a legal decision is dependent upon the criteria chosen to reach that decision.</w:t>
      </w:r>
    </w:p>
    <w:p w:rsidR="00627338" w:rsidRPr="00627338" w:rsidRDefault="00627338" w:rsidP="00627338">
      <w:pPr>
        <w:numPr>
          <w:ilvl w:val="0"/>
          <w:numId w:val="3"/>
        </w:numPr>
        <w:textAlignment w:val="baseline"/>
        <w:rPr>
          <w:rFonts w:ascii="inherit" w:eastAsia="Times New Roman" w:hAnsi="inherit" w:cs="Times New Roman"/>
        </w:rPr>
      </w:pPr>
      <w:r w:rsidRPr="00627338">
        <w:rPr>
          <w:rFonts w:ascii="inherit" w:eastAsia="Times New Roman" w:hAnsi="inherit" w:cs="Times New Roman"/>
        </w:rPr>
        <w:t>What is the fundamental difference between the natures of the two tests discussed by the court in Case 12-2?</w:t>
      </w:r>
    </w:p>
    <w:p w:rsidR="00627338" w:rsidRPr="00627338" w:rsidRDefault="00627338" w:rsidP="00627338">
      <w:pPr>
        <w:ind w:left="720"/>
        <w:textAlignment w:val="baseline"/>
        <w:rPr>
          <w:rFonts w:ascii="inherit" w:eastAsia="Times New Roman" w:hAnsi="inherit" w:cs="Times New Roman"/>
        </w:rPr>
      </w:pPr>
      <w:r w:rsidRPr="00627338">
        <w:rPr>
          <w:rFonts w:ascii="inherit" w:eastAsia="Times New Roman" w:hAnsi="inherit" w:cs="Times New Roman"/>
          <w:b/>
          <w:bCs/>
        </w:rPr>
        <w:t>Clue: </w:t>
      </w:r>
      <w:r w:rsidRPr="00627338">
        <w:rPr>
          <w:rFonts w:ascii="inherit" w:eastAsia="Times New Roman" w:hAnsi="inherit" w:cs="Times New Roman"/>
        </w:rPr>
        <w:t>Reread the discussion of the two tests to formulate your answer.</w:t>
      </w:r>
    </w:p>
    <w:p w:rsidR="00627338" w:rsidRPr="00627338" w:rsidRDefault="00627338" w:rsidP="00627338">
      <w:pPr>
        <w:numPr>
          <w:ilvl w:val="0"/>
          <w:numId w:val="3"/>
        </w:numPr>
        <w:textAlignment w:val="baseline"/>
        <w:rPr>
          <w:rFonts w:ascii="inherit" w:eastAsia="Times New Roman" w:hAnsi="inherit" w:cs="Times New Roman"/>
        </w:rPr>
      </w:pPr>
      <w:r w:rsidRPr="00627338">
        <w:rPr>
          <w:rFonts w:ascii="inherit" w:eastAsia="Times New Roman" w:hAnsi="inherit" w:cs="Times New Roman"/>
        </w:rPr>
        <w:t>Which of the two tests is more likely to yield ambiguous reasoning when applied?</w:t>
      </w:r>
    </w:p>
    <w:p w:rsidR="00627338" w:rsidRPr="00627338" w:rsidRDefault="00627338" w:rsidP="00627338">
      <w:pPr>
        <w:ind w:left="720"/>
        <w:textAlignment w:val="baseline"/>
        <w:rPr>
          <w:rFonts w:ascii="inherit" w:eastAsia="Times New Roman" w:hAnsi="inherit" w:cs="Times New Roman"/>
        </w:rPr>
      </w:pPr>
      <w:r w:rsidRPr="00627338">
        <w:rPr>
          <w:rFonts w:ascii="inherit" w:eastAsia="Times New Roman" w:hAnsi="inherit" w:cs="Times New Roman"/>
          <w:b/>
          <w:bCs/>
        </w:rPr>
        <w:t>Clue: </w:t>
      </w:r>
      <w:r w:rsidRPr="00627338">
        <w:rPr>
          <w:rFonts w:ascii="inherit" w:eastAsia="Times New Roman" w:hAnsi="inherit" w:cs="Times New Roman"/>
        </w:rPr>
        <w:t>Refer to your answer in question 1.</w:t>
      </w:r>
    </w:p>
    <w:p w:rsidR="00627338" w:rsidRPr="00627338" w:rsidRDefault="00627338" w:rsidP="00627338">
      <w:pPr>
        <w:spacing w:before="228" w:after="114"/>
        <w:textAlignment w:val="baseline"/>
        <w:outlineLvl w:val="0"/>
        <w:rPr>
          <w:rFonts w:ascii="inherit" w:eastAsia="Times New Roman" w:hAnsi="inherit" w:cs="Times New Roman"/>
          <w:i/>
          <w:iCs/>
          <w:color w:val="585858"/>
          <w:kern w:val="36"/>
          <w:sz w:val="38"/>
          <w:szCs w:val="38"/>
        </w:rPr>
      </w:pPr>
      <w:r w:rsidRPr="00627338">
        <w:rPr>
          <w:rFonts w:ascii="inherit" w:eastAsia="Times New Roman" w:hAnsi="inherit" w:cs="Times New Roman"/>
          <w:i/>
          <w:iCs/>
          <w:color w:val="585858"/>
          <w:kern w:val="36"/>
          <w:sz w:val="38"/>
          <w:szCs w:val="38"/>
        </w:rPr>
        <w:t>Implied Warranty of Fitness for a Particular Purpose</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 </w:t>
      </w:r>
      <w:r w:rsidRPr="00627338">
        <w:rPr>
          <w:rFonts w:ascii="inherit" w:eastAsia="Times New Roman" w:hAnsi="inherit" w:cs="Times New Roman"/>
        </w:rPr>
        <w:t>A second implied warranty that may be the basis for a product liability case is the </w:t>
      </w:r>
      <w:hyperlink r:id="rId38" w:anchor="P7000499191000000000000000005AD3" w:history="1">
        <w:r w:rsidRPr="00627338">
          <w:rPr>
            <w:rFonts w:ascii="inherit" w:eastAsia="Times New Roman" w:hAnsi="inherit" w:cs="Times New Roman"/>
            <w:b/>
            <w:bCs/>
            <w:color w:val="1E7AB9"/>
            <w:u w:val="single"/>
            <w:bdr w:val="none" w:sz="0" w:space="0" w:color="auto" w:frame="1"/>
          </w:rPr>
          <w:t>implied warranty of fitness for a particular purpose</w:t>
        </w:r>
      </w:hyperlink>
      <w:r w:rsidRPr="00627338">
        <w:rPr>
          <w:rFonts w:ascii="inherit" w:eastAsia="Times New Roman" w:hAnsi="inherit" w:cs="Times New Roman"/>
        </w:rPr>
        <w:t>, which arises when a seller knows that the purchaser wants to purchase a good for a particular use. The seller tells the consumer that the good can be used for that purpose, and the buyer reasonably relies on the seller’s expertise and purchases the product. If the good cannot be used for that purpose, and, as a result of the purchaser’s attempt to use the good for that purpose, the consumer is injured, a product liability action for breach of warranty of fitness for a particular purpose is justified. For example, if a farmer needed oil for his irrigation engine and he went to a store and told the seller exactly what model irrigation engine he needed oil for, the seller would be creating an implied warranty of fitness for a particular purpose by picking up a can of oil, handing it to the farmer, and saying, “This is the product you need.” If the farmer purchases the recommended oil, uses it in the engine, and the engine explodes because the oil was not heavy enough, the seller would have breached the warranty of fitness for a particular purpose. If the farmer were injured by the explosion, he would be able to recover on the basis of breach of warranty.</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b/>
          <w:bCs/>
          <w:i/>
          <w:iCs/>
          <w:color w:val="333333"/>
          <w:bdr w:val="none" w:sz="0" w:space="0" w:color="auto" w:frame="1"/>
        </w:rPr>
        <w:t>implied warranty of fitness for a particular purpose </w:t>
      </w:r>
    </w:p>
    <w:p w:rsidR="00627338" w:rsidRPr="00627338" w:rsidRDefault="00627338" w:rsidP="00627338">
      <w:pPr>
        <w:ind w:left="720"/>
        <w:textAlignment w:val="baseline"/>
        <w:rPr>
          <w:rFonts w:ascii="inherit" w:eastAsia="Times New Roman" w:hAnsi="inherit" w:cs="Times New Roman"/>
        </w:rPr>
      </w:pPr>
      <w:r w:rsidRPr="00627338">
        <w:rPr>
          <w:rFonts w:ascii="inherit" w:eastAsia="Times New Roman" w:hAnsi="inherit" w:cs="Times New Roman"/>
        </w:rPr>
        <w:t>A warranty that arises when the seller tells the consumer a good is fit for a specific use.</w:t>
      </w:r>
    </w:p>
    <w:p w:rsidR="00627338" w:rsidRPr="00627338" w:rsidRDefault="00627338" w:rsidP="00627338">
      <w:pPr>
        <w:spacing w:before="228" w:after="114"/>
        <w:textAlignment w:val="baseline"/>
        <w:outlineLvl w:val="0"/>
        <w:rPr>
          <w:rFonts w:ascii="inherit" w:eastAsia="Times New Roman" w:hAnsi="inherit" w:cs="Times New Roman"/>
          <w:i/>
          <w:iCs/>
          <w:color w:val="585858"/>
          <w:kern w:val="36"/>
          <w:sz w:val="38"/>
          <w:szCs w:val="38"/>
        </w:rPr>
      </w:pPr>
      <w:r w:rsidRPr="00627338">
        <w:rPr>
          <w:rFonts w:ascii="inherit" w:eastAsia="Times New Roman" w:hAnsi="inherit" w:cs="Times New Roman"/>
          <w:i/>
          <w:iCs/>
          <w:color w:val="585858"/>
          <w:kern w:val="36"/>
          <w:sz w:val="38"/>
          <w:szCs w:val="38"/>
        </w:rPr>
        <w:t>Express Warranties</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 </w:t>
      </w:r>
      <w:r w:rsidRPr="00627338">
        <w:rPr>
          <w:rFonts w:ascii="inherit" w:eastAsia="Times New Roman" w:hAnsi="inherit" w:cs="Times New Roman"/>
        </w:rPr>
        <w:t>The seller or the manufacturer may also be held liable for breach of an </w:t>
      </w:r>
      <w:r w:rsidRPr="00627338">
        <w:rPr>
          <w:rFonts w:ascii="inherit" w:eastAsia="Times New Roman" w:hAnsi="inherit" w:cs="Times New Roman"/>
          <w:i/>
          <w:iCs/>
          <w:bdr w:val="none" w:sz="0" w:space="0" w:color="auto" w:frame="1"/>
        </w:rPr>
        <w:t>express warranty,</w:t>
      </w:r>
      <w:r w:rsidRPr="00627338">
        <w:rPr>
          <w:rFonts w:ascii="inherit" w:eastAsia="Times New Roman" w:hAnsi="inherit" w:cs="Times New Roman"/>
        </w:rPr>
        <w:t> which is created by a seller in one of three ways: by describing the goods, by making a promise or affirmation of fact about the goods, or by providing a model or sample of the good. If the goods fail to meet the description, fail to do what the seller claimed they would do, or fail to be the same as the model or sample, the seller has breached an express warranty. For example, if a 200-pound man asks a seller whether a ladder will hold a 200-pound man without breaking, the seller who says that it will is affirming a fact and is thus expressly warranting that the ladder will hold a 200-pound man without breaking. If the purchaser takes the ladder home, climbs up on it, and it breaks under his weight, causing him to fall to the ground, he may bring a product liability action against the seller on the basis of breach of an express warranty.</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lastRenderedPageBreak/>
        <w:t>A memorable example of an express warranty is the claim many companies made that their software was “Y2K compliant.” When the nation was in fear of a possible chaotic result of the date change to the year 2000, many computer companies came out with “Year 2000–compliant” software. This claim, however, was usually written outside of the contract and, therefore, was an express warranty. Because businesses had the potential to lose a lot of money after Y2K, they felt that they needed someone to help reimburse what they might lose. Many decided that the easiest targets would be these “Y2K-safe” software companies, because the businesses could sue on the basis of breach of an express warranty.</w:t>
      </w:r>
      <w:hyperlink r:id="rId39" w:anchor="P7000499191000000000000000002C56" w:history="1">
        <w:r w:rsidRPr="00627338">
          <w:rPr>
            <w:rFonts w:ascii="inherit" w:eastAsia="Times New Roman" w:hAnsi="inherit" w:cs="Times New Roman"/>
            <w:b/>
            <w:bCs/>
            <w:color w:val="1E7AB9"/>
            <w:sz w:val="14"/>
            <w:szCs w:val="14"/>
            <w:u w:val="single"/>
            <w:bdr w:val="none" w:sz="0" w:space="0" w:color="auto" w:frame="1"/>
            <w:vertAlign w:val="superscript"/>
          </w:rPr>
          <w:t>11</w:t>
        </w:r>
      </w:hyperlink>
    </w:p>
    <w:p w:rsidR="00627338" w:rsidRPr="00627338" w:rsidRDefault="00627338" w:rsidP="00627338">
      <w:pPr>
        <w:textAlignment w:val="baseline"/>
        <w:rPr>
          <w:rFonts w:ascii="inherit" w:eastAsia="Times New Roman" w:hAnsi="inherit" w:cs="Times New Roman"/>
        </w:rPr>
      </w:pPr>
      <w:hyperlink r:id="rId40" w:anchor="r__P7000499191000000000000000002C56" w:history="1">
        <w:r w:rsidRPr="00627338">
          <w:rPr>
            <w:rFonts w:ascii="inherit" w:eastAsia="Times New Roman" w:hAnsi="inherit" w:cs="Times New Roman"/>
            <w:b/>
            <w:bCs/>
            <w:color w:val="1E7AB9"/>
            <w:u w:val="single"/>
            <w:bdr w:val="none" w:sz="0" w:space="0" w:color="auto" w:frame="1"/>
          </w:rPr>
          <w:t>11</w:t>
        </w:r>
        <w:r w:rsidRPr="00627338">
          <w:rPr>
            <w:rFonts w:ascii="inherit" w:eastAsia="Times New Roman" w:hAnsi="inherit" w:cs="Times New Roman"/>
            <w:b/>
            <w:bCs/>
            <w:color w:val="1E7AB9"/>
            <w:bdr w:val="none" w:sz="0" w:space="0" w:color="auto" w:frame="1"/>
          </w:rPr>
          <w:t> </w:t>
        </w:r>
      </w:hyperlink>
      <w:r w:rsidRPr="00627338">
        <w:rPr>
          <w:rFonts w:ascii="inherit" w:eastAsia="Times New Roman" w:hAnsi="inherit" w:cs="Times New Roman"/>
        </w:rPr>
        <w:t>J. L. Dam, “Can Business Sue for Cost of Fixing the ‘Year 2000’ Problem?” </w:t>
      </w:r>
      <w:r w:rsidRPr="00627338">
        <w:rPr>
          <w:rFonts w:ascii="inherit" w:eastAsia="Times New Roman" w:hAnsi="inherit" w:cs="Times New Roman"/>
          <w:i/>
          <w:iCs/>
          <w:bdr w:val="none" w:sz="0" w:space="0" w:color="auto" w:frame="1"/>
        </w:rPr>
        <w:t>Lawyers Weekly USA,</w:t>
      </w:r>
      <w:r w:rsidRPr="00627338">
        <w:rPr>
          <w:rFonts w:ascii="inherit" w:eastAsia="Times New Roman" w:hAnsi="inherit" w:cs="Times New Roman"/>
        </w:rPr>
        <w:t> </w:t>
      </w:r>
      <w:r w:rsidRPr="00627338">
        <w:rPr>
          <w:rFonts w:ascii="inherit" w:eastAsia="Times New Roman" w:hAnsi="inherit" w:cs="Times New Roman"/>
          <w:color w:val="AAAAAA"/>
        </w:rPr>
        <w:t>www.lawyersweekly.com</w:t>
      </w:r>
      <w:r w:rsidRPr="00627338">
        <w:rPr>
          <w:rFonts w:ascii="inherit" w:eastAsia="Times New Roman" w:hAnsi="inherit" w:cs="Times New Roman"/>
        </w:rPr>
        <w:t>.</w:t>
      </w:r>
    </w:p>
    <w:p w:rsidR="00627338" w:rsidRPr="00627338" w:rsidRDefault="00627338" w:rsidP="00627338">
      <w:pPr>
        <w:spacing w:before="228" w:after="114"/>
        <w:textAlignment w:val="baseline"/>
        <w:outlineLvl w:val="0"/>
        <w:rPr>
          <w:rFonts w:ascii="inherit" w:eastAsia="Times New Roman" w:hAnsi="inherit" w:cs="Times New Roman"/>
          <w:i/>
          <w:iCs/>
          <w:color w:val="585858"/>
          <w:kern w:val="36"/>
          <w:sz w:val="38"/>
          <w:szCs w:val="38"/>
        </w:rPr>
      </w:pPr>
      <w:r w:rsidRPr="00627338">
        <w:rPr>
          <w:rFonts w:ascii="inherit" w:eastAsia="Times New Roman" w:hAnsi="inherit" w:cs="Times New Roman"/>
          <w:i/>
          <w:iCs/>
          <w:color w:val="585858"/>
          <w:kern w:val="36"/>
          <w:sz w:val="38"/>
          <w:szCs w:val="38"/>
        </w:rPr>
        <w:t>Defenses to Breach-of-Warranty Actions</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 </w:t>
      </w:r>
      <w:r w:rsidRPr="00627338">
        <w:rPr>
          <w:rFonts w:ascii="inherit" w:eastAsia="Times New Roman" w:hAnsi="inherit" w:cs="Times New Roman"/>
        </w:rPr>
        <w:t>Two common defenses used in cases based on breach of warranty arise from the UCC; they make sense in a commercial setting when a transaction is between two businesspeople, but they make little—if any—sense in the context of a consumer injury. Therefore, the courts have found ways to limit the use of these defenses in product liability cases in most states.</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The first such defense is that the purchaser failed to give the seller notice within a reasonable time after he or she knew or should have known of the breach of warranty, as required by the UCC. Obviously, most consumers would not be aware of this rule and, as a result, many early breach-of-warranty cases were lost. Most courts today avoid this requirement by holding (1) that a long delay is reasonable under the particular circumstances, (2) that the section imposing the notice requirement was not intended to apply to personal injury situations, or (3) that the requirement is inapplicable between parties who have not dealt with each other, as when a consumer is suing a manufacturer.</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The second defense is the existence of a </w:t>
      </w:r>
      <w:hyperlink r:id="rId41" w:anchor="P70004991910000000000000000059E1" w:history="1">
        <w:r w:rsidRPr="00627338">
          <w:rPr>
            <w:rFonts w:ascii="inherit" w:eastAsia="Times New Roman" w:hAnsi="inherit" w:cs="Times New Roman"/>
            <w:b/>
            <w:bCs/>
            <w:color w:val="1E7AB9"/>
            <w:u w:val="single"/>
            <w:bdr w:val="none" w:sz="0" w:space="0" w:color="auto" w:frame="1"/>
          </w:rPr>
          <w:t>disclaimer</w:t>
        </w:r>
      </w:hyperlink>
      <w:r w:rsidRPr="00627338">
        <w:rPr>
          <w:rFonts w:ascii="inherit" w:eastAsia="Times New Roman" w:hAnsi="inherit" w:cs="Times New Roman"/>
        </w:rPr>
        <w:t>. A seller or manufacturer may relieve itself of liability for breach of warranty in advance through the use of disclaimers. The disclaimer may say (1) that no warranties are made (as is), (2) that the manufacturer or seller warrants only against certain consequences or defects, or (3) that liability is limited to repair, replacement, or return of the product price.</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b/>
          <w:bCs/>
          <w:i/>
          <w:iCs/>
          <w:color w:val="333333"/>
          <w:bdr w:val="none" w:sz="0" w:space="0" w:color="auto" w:frame="1"/>
        </w:rPr>
        <w:t>disclaimer </w:t>
      </w:r>
    </w:p>
    <w:p w:rsidR="00627338" w:rsidRPr="00627338" w:rsidRDefault="00627338" w:rsidP="00627338">
      <w:pPr>
        <w:ind w:left="720"/>
        <w:textAlignment w:val="baseline"/>
        <w:rPr>
          <w:rFonts w:ascii="inherit" w:eastAsia="Times New Roman" w:hAnsi="inherit" w:cs="Times New Roman"/>
        </w:rPr>
      </w:pPr>
      <w:r w:rsidRPr="00627338">
        <w:rPr>
          <w:rFonts w:ascii="inherit" w:eastAsia="Times New Roman" w:hAnsi="inherit" w:cs="Times New Roman"/>
        </w:rPr>
        <w:t>Disavowal of liability for breach of warranty by the manufacturer or seller of a good in advance of the sale of the good.</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 xml:space="preserve">Again, these disclaimers make sense in a commercial context, but seem somewhat harsh in the case of consumer transactions. Thus, the courts do not look with favor on disclaimers. First, the disclaimer must be clear; in many cases, courts have rejected the defendant’s use of a disclaimer as a defense on the ground that the retail purchaser either did not see the disclaimer or did not understand it. Thus, a businessperson using disclaimers to limit liability must be sure that the disclaimers are very plainly stated on an integral part of the product or package that will not be removed before retail purchase by the consumer. In some cases, however, despite clear disclaimers, courts have held disclaimers to consumers invalid, stating either that these disclaimers are unenforceable adhesion contracts resulting </w:t>
      </w:r>
      <w:r w:rsidRPr="00627338">
        <w:rPr>
          <w:rFonts w:ascii="inherit" w:eastAsia="Times New Roman" w:hAnsi="inherit" w:cs="Times New Roman"/>
        </w:rPr>
        <w:lastRenderedPageBreak/>
        <w:t>from gross inequities of bargaining power and are, therefore, unenforceable; or that they are unconscionable and contrary to the policy of the law. The UCC, in fact, now contains a provision stating that a limitation of consequential damages for injury to a person in the case of consumer goods is prima facie unconscionable.</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The statute of limitations may also be used defensively in a case based on strict liability for breach of warranty. Under the UCC, the statute of limitations runs four years from the date on which the cause of action arises. In an action based on breach of warranty, the cause of action, according to the UCC, arises at the time of the sale. This rule would severely limit actions for breach of warranty, as defects often do not cause harm immediately. Section 2-725(2) of the UCC, however, changes the time that the cause of action arises to the date when the breach of warranty is or should have been discovered when a warranty “explicitly extends to the future performance of the goods, and the discovery of the breach must await the time of performance.” This section, when applicable, makes the statute of limitations less of a potential problem for the plaintiff. In a few states, courts have simply decided to apply the tort statute of limitations, as running from the date of injury or the date when the defect was or should have been discovered, to all product liability cases grounded in breach of warranty.</w:t>
      </w:r>
    </w:p>
    <w:p w:rsidR="00627338" w:rsidRPr="00627338" w:rsidRDefault="00627338" w:rsidP="00627338">
      <w:pPr>
        <w:spacing w:before="285" w:after="190"/>
        <w:textAlignment w:val="baseline"/>
        <w:outlineLvl w:val="0"/>
        <w:rPr>
          <w:rFonts w:ascii="inherit" w:eastAsia="Times New Roman" w:hAnsi="inherit" w:cs="Times New Roman"/>
          <w:color w:val="585858"/>
          <w:kern w:val="36"/>
          <w:sz w:val="45"/>
          <w:szCs w:val="45"/>
        </w:rPr>
      </w:pPr>
      <w:r w:rsidRPr="00627338">
        <w:rPr>
          <w:rFonts w:ascii="inherit" w:eastAsia="Times New Roman" w:hAnsi="inherit" w:cs="Times New Roman"/>
          <w:color w:val="585858"/>
          <w:kern w:val="36"/>
          <w:sz w:val="45"/>
          <w:szCs w:val="45"/>
        </w:rPr>
        <w:t>Strict Liability in Tort</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The third and most prevalent theory of product liability used during the past three decades is strict liability in tort, established in the 1963 case of </w:t>
      </w:r>
      <w:r w:rsidRPr="00627338">
        <w:rPr>
          <w:rFonts w:ascii="inherit" w:eastAsia="Times New Roman" w:hAnsi="inherit" w:cs="Times New Roman"/>
          <w:i/>
          <w:iCs/>
          <w:bdr w:val="none" w:sz="0" w:space="0" w:color="auto" w:frame="1"/>
        </w:rPr>
        <w:t>Greenman v. Yuba Power Products Co.</w:t>
      </w:r>
      <w:hyperlink r:id="rId42" w:anchor="P7000499191000000000000000002C58" w:history="1">
        <w:r w:rsidRPr="00627338">
          <w:rPr>
            <w:rFonts w:ascii="inherit" w:eastAsia="Times New Roman" w:hAnsi="inherit" w:cs="Times New Roman"/>
            <w:b/>
            <w:bCs/>
            <w:color w:val="1E7AB9"/>
            <w:sz w:val="14"/>
            <w:szCs w:val="14"/>
            <w:u w:val="single"/>
            <w:bdr w:val="none" w:sz="0" w:space="0" w:color="auto" w:frame="1"/>
            <w:vertAlign w:val="superscript"/>
          </w:rPr>
          <w:t>12</w:t>
        </w:r>
      </w:hyperlink>
      <w:r w:rsidRPr="00627338">
        <w:rPr>
          <w:rFonts w:ascii="inherit" w:eastAsia="Times New Roman" w:hAnsi="inherit" w:cs="Times New Roman"/>
        </w:rPr>
        <w:t> and incorporated in Section 402A of the </w:t>
      </w:r>
      <w:r w:rsidRPr="00627338">
        <w:rPr>
          <w:rFonts w:ascii="inherit" w:eastAsia="Times New Roman" w:hAnsi="inherit" w:cs="Times New Roman"/>
          <w:i/>
          <w:iCs/>
          <w:bdr w:val="none" w:sz="0" w:space="0" w:color="auto" w:frame="1"/>
        </w:rPr>
        <w:t>Restatement (Second) of Torts</w:t>
      </w:r>
      <w:r w:rsidRPr="00627338">
        <w:rPr>
          <w:rFonts w:ascii="inherit" w:eastAsia="Times New Roman" w:hAnsi="inherit" w:cs="Times New Roman"/>
        </w:rPr>
        <w:t>. This section reads as follows:</w:t>
      </w:r>
    </w:p>
    <w:p w:rsidR="00627338" w:rsidRPr="00627338" w:rsidRDefault="00627338" w:rsidP="00627338">
      <w:pPr>
        <w:textAlignment w:val="baseline"/>
        <w:rPr>
          <w:rFonts w:ascii="inherit" w:eastAsia="Times New Roman" w:hAnsi="inherit" w:cs="Times New Roman"/>
        </w:rPr>
      </w:pPr>
      <w:hyperlink r:id="rId43" w:anchor="r__P7000499191000000000000000002C58" w:history="1">
        <w:r w:rsidRPr="00627338">
          <w:rPr>
            <w:rFonts w:ascii="inherit" w:eastAsia="Times New Roman" w:hAnsi="inherit" w:cs="Times New Roman"/>
            <w:b/>
            <w:bCs/>
            <w:color w:val="1E7AB9"/>
            <w:u w:val="single"/>
            <w:bdr w:val="none" w:sz="0" w:space="0" w:color="auto" w:frame="1"/>
          </w:rPr>
          <w:t>12</w:t>
        </w:r>
        <w:r w:rsidRPr="00627338">
          <w:rPr>
            <w:rFonts w:ascii="inherit" w:eastAsia="Times New Roman" w:hAnsi="inherit" w:cs="Times New Roman"/>
            <w:b/>
            <w:bCs/>
            <w:color w:val="1E7AB9"/>
            <w:bdr w:val="none" w:sz="0" w:space="0" w:color="auto" w:frame="1"/>
          </w:rPr>
          <w:t> </w:t>
        </w:r>
      </w:hyperlink>
      <w:r w:rsidRPr="00627338">
        <w:rPr>
          <w:rFonts w:ascii="inherit" w:eastAsia="Times New Roman" w:hAnsi="inherit" w:cs="Times New Roman"/>
        </w:rPr>
        <w:t>59 Cal.2d 57 (1962).</w:t>
      </w:r>
    </w:p>
    <w:p w:rsidR="00627338" w:rsidRPr="00627338" w:rsidRDefault="00627338" w:rsidP="00627338">
      <w:pPr>
        <w:numPr>
          <w:ilvl w:val="0"/>
          <w:numId w:val="4"/>
        </w:numPr>
        <w:textAlignment w:val="baseline"/>
        <w:rPr>
          <w:rFonts w:ascii="inherit" w:eastAsia="Times New Roman" w:hAnsi="inherit" w:cs="Times New Roman"/>
        </w:rPr>
      </w:pPr>
      <w:r w:rsidRPr="00627338">
        <w:rPr>
          <w:rFonts w:ascii="inherit" w:eastAsia="Times New Roman" w:hAnsi="inherit" w:cs="Times New Roman"/>
        </w:rPr>
        <w:t>One who sells any product in a defective condition, unreasonably dangerous to the user or consumer or his family is subject to liability for physical harm thereby caused to the ultimate user or consumer, or to his property, if</w:t>
      </w:r>
    </w:p>
    <w:p w:rsidR="00627338" w:rsidRPr="00627338" w:rsidRDefault="00627338" w:rsidP="00627338">
      <w:pPr>
        <w:numPr>
          <w:ilvl w:val="1"/>
          <w:numId w:val="4"/>
        </w:numPr>
        <w:textAlignment w:val="baseline"/>
        <w:rPr>
          <w:rFonts w:ascii="inherit" w:eastAsia="Times New Roman" w:hAnsi="inherit" w:cs="Times New Roman"/>
        </w:rPr>
      </w:pPr>
      <w:r w:rsidRPr="00627338">
        <w:rPr>
          <w:rFonts w:ascii="inherit" w:eastAsia="Times New Roman" w:hAnsi="inherit" w:cs="Times New Roman"/>
        </w:rPr>
        <w:t>the seller is engaged in the business of selling such a product; and</w:t>
      </w:r>
    </w:p>
    <w:p w:rsidR="00627338" w:rsidRPr="00627338" w:rsidRDefault="00627338" w:rsidP="00627338">
      <w:pPr>
        <w:numPr>
          <w:ilvl w:val="1"/>
          <w:numId w:val="4"/>
        </w:numPr>
        <w:textAlignment w:val="baseline"/>
        <w:rPr>
          <w:rFonts w:ascii="inherit" w:eastAsia="Times New Roman" w:hAnsi="inherit" w:cs="Times New Roman"/>
        </w:rPr>
      </w:pPr>
      <w:r w:rsidRPr="00627338">
        <w:rPr>
          <w:rFonts w:ascii="inherit" w:eastAsia="Times New Roman" w:hAnsi="inherit" w:cs="Times New Roman"/>
        </w:rPr>
        <w:t>it is expected to and does reach the consumer or user without substantial change in the condition in which it was sold.</w:t>
      </w:r>
    </w:p>
    <w:p w:rsidR="00627338" w:rsidRPr="00627338" w:rsidRDefault="00627338" w:rsidP="00627338">
      <w:pPr>
        <w:numPr>
          <w:ilvl w:val="0"/>
          <w:numId w:val="4"/>
        </w:numPr>
        <w:textAlignment w:val="baseline"/>
        <w:rPr>
          <w:rFonts w:ascii="inherit" w:eastAsia="Times New Roman" w:hAnsi="inherit" w:cs="Times New Roman"/>
        </w:rPr>
      </w:pPr>
      <w:r w:rsidRPr="00627338">
        <w:rPr>
          <w:rFonts w:ascii="inherit" w:eastAsia="Times New Roman" w:hAnsi="inherit" w:cs="Times New Roman"/>
        </w:rPr>
        <w:t>The rule stated in Subsection (1) applies although</w:t>
      </w:r>
    </w:p>
    <w:p w:rsidR="00627338" w:rsidRPr="00627338" w:rsidRDefault="00627338" w:rsidP="00627338">
      <w:pPr>
        <w:numPr>
          <w:ilvl w:val="1"/>
          <w:numId w:val="4"/>
        </w:numPr>
        <w:textAlignment w:val="baseline"/>
        <w:rPr>
          <w:rFonts w:ascii="inherit" w:eastAsia="Times New Roman" w:hAnsi="inherit" w:cs="Times New Roman"/>
        </w:rPr>
      </w:pPr>
      <w:r w:rsidRPr="00627338">
        <w:rPr>
          <w:rFonts w:ascii="inherit" w:eastAsia="Times New Roman" w:hAnsi="inherit" w:cs="Times New Roman"/>
        </w:rPr>
        <w:t>the seller has exercised all possible care in the preparation and sale of his product; and</w:t>
      </w:r>
    </w:p>
    <w:p w:rsidR="00627338" w:rsidRPr="00627338" w:rsidRDefault="00627338" w:rsidP="00627338">
      <w:pPr>
        <w:numPr>
          <w:ilvl w:val="1"/>
          <w:numId w:val="4"/>
        </w:numPr>
        <w:textAlignment w:val="baseline"/>
        <w:rPr>
          <w:rFonts w:ascii="inherit" w:eastAsia="Times New Roman" w:hAnsi="inherit" w:cs="Times New Roman"/>
        </w:rPr>
      </w:pPr>
      <w:r w:rsidRPr="00627338">
        <w:rPr>
          <w:rFonts w:ascii="inherit" w:eastAsia="Times New Roman" w:hAnsi="inherit" w:cs="Times New Roman"/>
        </w:rPr>
        <w:t>the user or consumer has not bought the product from or entered into any contractual relation with the seller.</w:t>
      </w:r>
      <w:hyperlink r:id="rId44" w:anchor="P7000499191000000000000000002C6C" w:history="1">
        <w:r w:rsidRPr="00627338">
          <w:rPr>
            <w:rFonts w:ascii="inherit" w:eastAsia="Times New Roman" w:hAnsi="inherit" w:cs="Times New Roman"/>
            <w:b/>
            <w:bCs/>
            <w:color w:val="1E7AB9"/>
            <w:sz w:val="12"/>
            <w:szCs w:val="12"/>
            <w:u w:val="single"/>
            <w:bdr w:val="none" w:sz="0" w:space="0" w:color="auto" w:frame="1"/>
            <w:vertAlign w:val="superscript"/>
          </w:rPr>
          <w:t>*</w:t>
        </w:r>
      </w:hyperlink>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Under this theory, the manufacturer, distributor, or retailer may be held liable to any reasonably foreseeable injured party. Unlike causes of action based on negligence or, to a lesser degree, breach of warranty, product liability actions based on strict liability in tort focus on the product, not on the producer or seller. The degree of care exercised by the defendant is not an issue in these cases. The issue in such cases is whether the product was in a “defective condition, unreasonably dangerous” when sold. To succeed in a strict liability action, the plaintiff must prove that</w:t>
      </w:r>
    </w:p>
    <w:p w:rsidR="00627338" w:rsidRPr="00627338" w:rsidRDefault="00627338" w:rsidP="00627338">
      <w:pPr>
        <w:numPr>
          <w:ilvl w:val="0"/>
          <w:numId w:val="5"/>
        </w:numPr>
        <w:textAlignment w:val="baseline"/>
        <w:rPr>
          <w:rFonts w:ascii="inherit" w:eastAsia="Times New Roman" w:hAnsi="inherit" w:cs="Times New Roman"/>
        </w:rPr>
      </w:pPr>
      <w:r w:rsidRPr="00627338">
        <w:rPr>
          <w:rFonts w:ascii="inherit" w:eastAsia="Times New Roman" w:hAnsi="inherit" w:cs="Times New Roman"/>
        </w:rPr>
        <w:lastRenderedPageBreak/>
        <w:t>the product was defective when sold;</w:t>
      </w:r>
    </w:p>
    <w:p w:rsidR="00627338" w:rsidRPr="00627338" w:rsidRDefault="00627338" w:rsidP="00627338">
      <w:pPr>
        <w:numPr>
          <w:ilvl w:val="0"/>
          <w:numId w:val="5"/>
        </w:numPr>
        <w:textAlignment w:val="baseline"/>
        <w:rPr>
          <w:rFonts w:ascii="inherit" w:eastAsia="Times New Roman" w:hAnsi="inherit" w:cs="Times New Roman"/>
        </w:rPr>
      </w:pPr>
      <w:r w:rsidRPr="00627338">
        <w:rPr>
          <w:rFonts w:ascii="inherit" w:eastAsia="Times New Roman" w:hAnsi="inherit" w:cs="Times New Roman"/>
        </w:rPr>
        <w:t>the defective condition rendered the product unreasonably dangerous; and</w:t>
      </w:r>
    </w:p>
    <w:p w:rsidR="00627338" w:rsidRPr="00627338" w:rsidRDefault="00627338" w:rsidP="00627338">
      <w:pPr>
        <w:numPr>
          <w:ilvl w:val="0"/>
          <w:numId w:val="5"/>
        </w:numPr>
        <w:textAlignment w:val="baseline"/>
        <w:rPr>
          <w:rFonts w:ascii="inherit" w:eastAsia="Times New Roman" w:hAnsi="inherit" w:cs="Times New Roman"/>
        </w:rPr>
      </w:pPr>
      <w:r w:rsidRPr="00627338">
        <w:rPr>
          <w:rFonts w:ascii="inherit" w:eastAsia="Times New Roman" w:hAnsi="inherit" w:cs="Times New Roman"/>
        </w:rPr>
        <w:t>the product was the cause of the plaintiff’s injury.</w:t>
      </w:r>
    </w:p>
    <w:p w:rsidR="00627338" w:rsidRPr="00627338" w:rsidRDefault="00627338" w:rsidP="00627338">
      <w:pPr>
        <w:spacing w:before="100" w:beforeAutospacing="1" w:after="100" w:afterAutospacing="1"/>
        <w:textAlignment w:val="baseline"/>
        <w:outlineLvl w:val="0"/>
        <w:rPr>
          <w:rFonts w:ascii="inherit" w:eastAsia="Times New Roman" w:hAnsi="inherit" w:cs="Times New Roman"/>
          <w:b/>
          <w:bCs/>
          <w:kern w:val="36"/>
          <w:sz w:val="30"/>
          <w:szCs w:val="30"/>
        </w:rPr>
      </w:pPr>
      <w:r w:rsidRPr="00627338">
        <w:rPr>
          <w:rFonts w:ascii="inherit" w:eastAsia="Times New Roman" w:hAnsi="inherit" w:cs="Times New Roman"/>
          <w:b/>
          <w:bCs/>
          <w:kern w:val="36"/>
          <w:sz w:val="30"/>
          <w:szCs w:val="30"/>
        </w:rPr>
        <w:t>Applying the Law to the Facts . . . </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Let’s say that Amy buys slippers from a slipper manufacturer named Slip-On. A year later she falls down the stairs in her home while wearing the slippers. Subsequently she brings a strict liability action against Slip-On. She proves that she fell down the stairs because her slippers were missing a grip on the sole that would allow for stable traction on all hard surfaces, thus rendering her slippers in their current state unsafe for walking on wood floors, tile, etc. Amy has proved two of the three prongs she needs to be successful against Slip-On. What prong is Amy missing?</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The defect is usually the most difficult part of the case for the plaintiff to establish. A product may be defective because of (1) some flaw or abnormality in its construction or marketing that led to its being more dangerous than it otherwise would have been, (2) a failure by the manufacturer or seller to adequately warn of a risk or hazard associated with the product, or (3) a design that is defective. For example, in 1966, Mr. Dolinski purchased a bottle of Squirt from a vending machine and drank most of the contents. He soon felt ill and discovered a decomposed mouse and mouse feces at the bottom of the bottle. He suffered physical and mental distress and avoided soft drinks after this experience. Under strict liability in tort, he sued that bottle manufacturer and distributor, Shoshone Coca-Cola Bottling Company, and a jury awarded him $2,500. Moreover, this was the first case in which the Nevada state courts recognized the doctrine of strict liability.</w:t>
      </w:r>
      <w:hyperlink r:id="rId45" w:anchor="P7000499191000000000000000002C5A" w:history="1">
        <w:r w:rsidRPr="00627338">
          <w:rPr>
            <w:rFonts w:ascii="inherit" w:eastAsia="Times New Roman" w:hAnsi="inherit" w:cs="Times New Roman"/>
            <w:b/>
            <w:bCs/>
            <w:color w:val="1E7AB9"/>
            <w:sz w:val="14"/>
            <w:szCs w:val="14"/>
            <w:u w:val="single"/>
            <w:bdr w:val="none" w:sz="0" w:space="0" w:color="auto" w:frame="1"/>
            <w:vertAlign w:val="superscript"/>
          </w:rPr>
          <w:t>13</w:t>
        </w:r>
      </w:hyperlink>
    </w:p>
    <w:p w:rsidR="00627338" w:rsidRPr="00627338" w:rsidRDefault="00627338" w:rsidP="00627338">
      <w:pPr>
        <w:textAlignment w:val="baseline"/>
        <w:rPr>
          <w:rFonts w:ascii="inherit" w:eastAsia="Times New Roman" w:hAnsi="inherit" w:cs="Times New Roman"/>
        </w:rPr>
      </w:pPr>
      <w:hyperlink r:id="rId46" w:anchor="r__P7000499191000000000000000002C5A" w:history="1">
        <w:r w:rsidRPr="00627338">
          <w:rPr>
            <w:rFonts w:ascii="inherit" w:eastAsia="Times New Roman" w:hAnsi="inherit" w:cs="Times New Roman"/>
            <w:b/>
            <w:bCs/>
            <w:color w:val="1E7AB9"/>
            <w:u w:val="single"/>
            <w:bdr w:val="none" w:sz="0" w:space="0" w:color="auto" w:frame="1"/>
          </w:rPr>
          <w:t>13</w:t>
        </w:r>
        <w:r w:rsidRPr="00627338">
          <w:rPr>
            <w:rFonts w:ascii="inherit" w:eastAsia="Times New Roman" w:hAnsi="inherit" w:cs="Times New Roman"/>
            <w:b/>
            <w:bCs/>
            <w:color w:val="1E7AB9"/>
            <w:bdr w:val="none" w:sz="0" w:space="0" w:color="auto" w:frame="1"/>
          </w:rPr>
          <w:t> </w:t>
        </w:r>
      </w:hyperlink>
      <w:r w:rsidRPr="00627338">
        <w:rPr>
          <w:rFonts w:ascii="inherit" w:eastAsia="Times New Roman" w:hAnsi="inherit" w:cs="Times New Roman"/>
          <w:i/>
          <w:iCs/>
          <w:bdr w:val="none" w:sz="0" w:space="0" w:color="auto" w:frame="1"/>
        </w:rPr>
        <w:t>Dolinski v. Shoshone Coca-Cola</w:t>
      </w:r>
      <w:r w:rsidRPr="00627338">
        <w:rPr>
          <w:rFonts w:ascii="inherit" w:eastAsia="Times New Roman" w:hAnsi="inherit" w:cs="Times New Roman"/>
        </w:rPr>
        <w:t>, 82 Nev. 439, 420 P.2d 855 (1966).</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A defect in manufacture or marketing generally involves a specific product that does not meet the manufacturer’s specifications. Proof of such a defect is generally provided in one or both of two ways: (1) experts testify as to the type of flaw that could have caused the accident that led to the plaintiff’s injury; (2) evidence of the circumstances surrounding the accident led the jury to infer that the accident must have been caused by a defect in the product. Notice in the following case how the court makes an analogy to </w:t>
      </w:r>
      <w:r w:rsidRPr="00627338">
        <w:rPr>
          <w:rFonts w:ascii="inherit" w:eastAsia="Times New Roman" w:hAnsi="inherit" w:cs="Times New Roman"/>
          <w:i/>
          <w:iCs/>
          <w:bdr w:val="none" w:sz="0" w:space="0" w:color="auto" w:frame="1"/>
        </w:rPr>
        <w:t>res ipsa loquitur</w:t>
      </w:r>
      <w:r w:rsidRPr="00627338">
        <w:rPr>
          <w:rFonts w:ascii="inherit" w:eastAsia="Times New Roman" w:hAnsi="inherit" w:cs="Times New Roman"/>
        </w:rPr>
        <w:t> when finding the existence of a defect caused by the defendant.</w:t>
      </w:r>
    </w:p>
    <w:p w:rsidR="00627338" w:rsidRPr="00627338" w:rsidRDefault="00627338" w:rsidP="00627338">
      <w:pPr>
        <w:spacing w:before="285" w:after="285" w:line="285" w:lineRule="atLeast"/>
        <w:textAlignment w:val="baseline"/>
        <w:outlineLvl w:val="0"/>
        <w:rPr>
          <w:rFonts w:ascii="inherit" w:eastAsia="Times New Roman" w:hAnsi="inherit" w:cs="Times New Roman"/>
          <w:b/>
          <w:bCs/>
          <w:i/>
          <w:iCs/>
          <w:color w:val="CC6600"/>
          <w:kern w:val="36"/>
          <w:sz w:val="30"/>
          <w:szCs w:val="30"/>
        </w:rPr>
      </w:pPr>
      <w:r w:rsidRPr="00627338">
        <w:rPr>
          <w:rFonts w:ascii="inherit" w:eastAsia="Times New Roman" w:hAnsi="inherit" w:cs="Times New Roman"/>
          <w:b/>
          <w:bCs/>
          <w:i/>
          <w:iCs/>
          <w:color w:val="CC6600"/>
          <w:kern w:val="36"/>
          <w:sz w:val="30"/>
          <w:szCs w:val="30"/>
        </w:rPr>
        <w:fldChar w:fldCharType="begin"/>
      </w:r>
      <w:r w:rsidRPr="00627338">
        <w:rPr>
          <w:rFonts w:ascii="inherit" w:eastAsia="Times New Roman" w:hAnsi="inherit" w:cs="Times New Roman"/>
          <w:b/>
          <w:bCs/>
          <w:i/>
          <w:iCs/>
          <w:color w:val="CC6600"/>
          <w:kern w:val="36"/>
          <w:sz w:val="30"/>
          <w:szCs w:val="30"/>
        </w:rPr>
        <w:instrText xml:space="preserve"> INCLUDEPICTURE "/var/folders/92/ngx3jzzn1l9235qg2g9hmbzr0000gn/T/com.microsoft.Word/WebArchiveCopyPasteTempFiles/Fotolia_47747980_Subscription_Monthly_XXL.png" \* MERGEFORMATINET </w:instrText>
      </w:r>
      <w:r w:rsidRPr="00627338">
        <w:rPr>
          <w:rFonts w:ascii="inherit" w:eastAsia="Times New Roman" w:hAnsi="inherit" w:cs="Times New Roman"/>
          <w:b/>
          <w:bCs/>
          <w:i/>
          <w:iCs/>
          <w:color w:val="CC6600"/>
          <w:kern w:val="36"/>
          <w:sz w:val="30"/>
          <w:szCs w:val="30"/>
        </w:rPr>
        <w:fldChar w:fldCharType="separate"/>
      </w:r>
      <w:r w:rsidRPr="00627338">
        <w:rPr>
          <w:rFonts w:ascii="inherit" w:eastAsia="Times New Roman" w:hAnsi="inherit" w:cs="Times New Roman"/>
          <w:b/>
          <w:bCs/>
          <w:i/>
          <w:iCs/>
          <w:noProof/>
          <w:color w:val="CC6600"/>
          <w:kern w:val="36"/>
          <w:sz w:val="30"/>
          <w:szCs w:val="30"/>
        </w:rPr>
        <w:drawing>
          <wp:inline distT="0" distB="0" distL="0" distR="0">
            <wp:extent cx="1352550" cy="1429385"/>
            <wp:effectExtent l="0" t="0" r="6350" b="5715"/>
            <wp:docPr id="1" name="Picture 1" descr="/var/folders/92/ngx3jzzn1l9235qg2g9hmbzr0000gn/T/com.microsoft.Word/WebArchiveCopyPasteTempFiles/Fotolia_47747980_Subscription_Monthly_X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00049919100000000000000000EDBD" descr="/var/folders/92/ngx3jzzn1l9235qg2g9hmbzr0000gn/T/com.microsoft.Word/WebArchiveCopyPasteTempFiles/Fotolia_47747980_Subscription_Monthly_XXL.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52550" cy="1429385"/>
                    </a:xfrm>
                    <a:prstGeom prst="rect">
                      <a:avLst/>
                    </a:prstGeom>
                    <a:noFill/>
                    <a:ln>
                      <a:noFill/>
                    </a:ln>
                  </pic:spPr>
                </pic:pic>
              </a:graphicData>
            </a:graphic>
          </wp:inline>
        </w:drawing>
      </w:r>
      <w:r w:rsidRPr="00627338">
        <w:rPr>
          <w:rFonts w:ascii="inherit" w:eastAsia="Times New Roman" w:hAnsi="inherit" w:cs="Times New Roman"/>
          <w:b/>
          <w:bCs/>
          <w:i/>
          <w:iCs/>
          <w:color w:val="CC6600"/>
          <w:kern w:val="36"/>
          <w:sz w:val="30"/>
          <w:szCs w:val="30"/>
        </w:rPr>
        <w:fldChar w:fldCharType="end"/>
      </w:r>
      <w:r w:rsidRPr="00627338">
        <w:rPr>
          <w:rFonts w:ascii="inherit" w:eastAsia="Times New Roman" w:hAnsi="inherit" w:cs="Times New Roman"/>
          <w:b/>
          <w:bCs/>
          <w:i/>
          <w:iCs/>
          <w:color w:val="CC6600"/>
          <w:kern w:val="36"/>
          <w:sz w:val="30"/>
          <w:szCs w:val="30"/>
        </w:rPr>
        <w:t> Case 12-3 Welge v. Planters Lifesavers Co.</w:t>
      </w:r>
    </w:p>
    <w:p w:rsidR="00627338" w:rsidRPr="00627338" w:rsidRDefault="00627338" w:rsidP="00627338">
      <w:pPr>
        <w:textAlignment w:val="baseline"/>
        <w:rPr>
          <w:rFonts w:ascii="inherit" w:eastAsia="Times New Roman" w:hAnsi="inherit" w:cs="Times New Roman"/>
          <w:i/>
          <w:iCs/>
          <w:color w:val="585858"/>
        </w:rPr>
      </w:pPr>
      <w:r w:rsidRPr="00627338">
        <w:rPr>
          <w:rFonts w:ascii="inherit" w:eastAsia="Times New Roman" w:hAnsi="inherit" w:cs="Times New Roman"/>
          <w:i/>
          <w:iCs/>
          <w:color w:val="585858"/>
        </w:rPr>
        <w:t>Court of Appeals for the Seventh Circuit 17 F.3d 209 (1994)</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lastRenderedPageBreak/>
        <w:t>Richard Welge loved to sprinkle peanuts on his ice cream sundaes. Karen Godfrey, with whom Welge boarded, bought a 24-ounce vacuum-sealed plastic- capped jar of Planters peanuts for him at a Kmart. To obtain a $2 rebate from the maker of Alka-Seltzer, Godfrey needed proof of her purchase of the jar of peanuts. So, using an X-Acto knife, she removed the part of the label that contained the bar code. She then placed the jar on top of the refrigerator for Welge. About a week later, Welge removed the plastic seal from the jar, uncapped it, took some peanuts, replaced the cap, and returned the jar to the top of the refrigerator. A week after that, he took down the jar, removed the plastic cap, spilled some peanuts into his left hand to put on his sundae, and replaced the cap with his right hand—but as he pushed the cap down on the open jar, the jar shattered. His hand, continuing in its downward motion, was severely cut and, he claimed, became permanently impaired.</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Welge filed product liability actions against Kmart, which sold the jar of peanuts to Godfrey; Planters, which manufactured the product (filled the glass jar with peanuts and sealed and capped it); and Brockway, which manufactured the glass jar and sold it to Planters. After pretrial discovery, the defendants moved for summary judgment. The district judge granted the motion on the ground that the plaintiff had failed to exclude possible causes of the accident other than a defect introduced during the manufacturing process. The plaintiff appealed.</w:t>
      </w:r>
    </w:p>
    <w:p w:rsidR="00627338" w:rsidRPr="00627338" w:rsidRDefault="00627338" w:rsidP="00627338">
      <w:pPr>
        <w:spacing w:before="285" w:after="142"/>
        <w:textAlignment w:val="baseline"/>
        <w:outlineLvl w:val="0"/>
        <w:rPr>
          <w:rFonts w:ascii="inherit" w:eastAsia="Times New Roman" w:hAnsi="inherit" w:cs="Times New Roman"/>
          <w:color w:val="585858"/>
          <w:kern w:val="36"/>
          <w:sz w:val="30"/>
          <w:szCs w:val="30"/>
        </w:rPr>
      </w:pPr>
      <w:r w:rsidRPr="00627338">
        <w:rPr>
          <w:rFonts w:ascii="inherit" w:eastAsia="Times New Roman" w:hAnsi="inherit" w:cs="Times New Roman"/>
          <w:color w:val="585858"/>
          <w:kern w:val="36"/>
          <w:sz w:val="30"/>
          <w:szCs w:val="30"/>
        </w:rPr>
        <w:t>Justice Posner</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No doubt there are men strong enough to shatter a thick glass jar with one blow. But Welge’s testimony stands uncontradicted that he used no more than the normal force that one exerts in snapping a plastic lid onto a jar. So the jar must have been defective. No expert testimony and no fancy doctrine are required for such a conclusion. A nondefective jar does not shatter when normal force is used to clamp its plastic lid on. The question is when the defect was introduced. It could have been at any time from the manufacture of the glass jar by Brockway (for no one suggests that the defect might have been caused by something in the raw materials out of which the jar was made) to moments before the accident. But testimony by Welge and Godfrey . . . excludes all reasonable possibility that the defect was introduced into the jar after Godfrey plucked it from a shelf in the KMart store. From the shelf she put it in her shopping cart. The checker at the check-out counter scanned the bar code without banging the jar. She then placed the jar in a plastic bag. Godfrey carried the bag to her car and put it on the floor. She drove directly home, without incident. After the bar-code portion of the label was removed, the jar sat on top of the refrigerator except for the two times Welge removed it to take peanuts out of it. Throughout this process it was not, so far as anyone knows, jostled, dropped, bumped, or otherwise subjected to stress beyond what is to be expected in the ordinary use of the product. Chicago is not Los Angeles; there were no earthquakes. Chicago is not Amityville either; no supernatural interventions are alleged. So the defect must have been introduced earlier, when the jar was in the hands of the defendants.</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 xml:space="preserve">But, they argue, this overlooks two things. One is that Karen Godfrey took a knife to the jar. And no doubt one can weaken a glass jar with a knife. But nothing is more common or, we </w:t>
      </w:r>
      <w:r w:rsidRPr="00627338">
        <w:rPr>
          <w:rFonts w:ascii="inherit" w:eastAsia="Times New Roman" w:hAnsi="inherit" w:cs="Times New Roman"/>
        </w:rPr>
        <w:lastRenderedPageBreak/>
        <w:t>should have thought, more harmless than to use a knife or a razor blade to remove a label from a jar or bottle. People do this all the time with the price labels on bottles of wine. Even though mishandling or misuse, by the consumer or by anyone else (other than the defendant itself), is a defense . . . to a products liability suit . . . and even if, as we greatly doubt, such normal mutilation as occurred in this case could be thought a species of mishandling or misuse, a defendant cannot defend against a products liability suit on the basis of a misuse that he invited. The Alka-Seltzer promotion to which Karen Godfrey was responding when she removed a portion of the label of the jar of Planters peanuts was in the KMart store. It was there, obviously, with KMart’s permission. By the promotion KMart invited its peanut customers to remove a part of the label on each peanut jar bought, in order to be able to furnish the maker of Alka-Seltzer with proof of purchase. If one just wants to efface a label one can usually do that by scraping it off with a fingernail, but to remove the label intact requires the use of a knife or a razor blade. Invited misuse is no defense to a products liability claim. Invited misuse is not misuse. . . .</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Even so, the defendants point out, it is always possible that the jar was damaged while it was sitting unattended on the top of the refrigerator, in which event they are not responsible. Only if it had been securely under lock and key when not being used could the plaintiff and Karen Godfrey be certain that nothing happened to damage it after she brought it home. That is true—there are no metaphysical certainties—but it leads nowhere. Elves may have played ninepins with the jar of peanuts while Welge and Godfrey were sleeping; but elves could remove a jar of peanuts from a locked cupboard. The plaintiff in a products liability suit is not required to exclude every possibility, however fantastic or remote, that the defect which led to the accident was caused by someone other than one of the defendants. The doctrine of </w:t>
      </w:r>
      <w:r w:rsidRPr="00627338">
        <w:rPr>
          <w:rFonts w:ascii="inherit" w:eastAsia="Times New Roman" w:hAnsi="inherit" w:cs="Times New Roman"/>
          <w:i/>
          <w:iCs/>
          <w:bdr w:val="none" w:sz="0" w:space="0" w:color="auto" w:frame="1"/>
        </w:rPr>
        <w:t>res ipsa loquitur</w:t>
      </w:r>
      <w:r w:rsidRPr="00627338">
        <w:rPr>
          <w:rFonts w:ascii="inherit" w:eastAsia="Times New Roman" w:hAnsi="inherit" w:cs="Times New Roman"/>
        </w:rPr>
        <w:t> teaches that an accident that is unlikely to occur unless the defendant was negligent is itself circumstantial evidence that the defendant was negligent. The doctrine is not strictly applicable to a products liability case because[,] unlike an ordinary accident case[,] the defendant in a products case has parted with possession and control of the harmful object before the accident occurs. . . . But the doctrine merely instantiates the broader principle, which is as applicable to a products case as to any other tort case, that an accident can itself be evidence of liability. . . . If it is the kind of accident that would not have occurred but for a defect in the product, and if it is reasonably plain that the defect was not introduced after the product was sold, the accident is evidence that the product was defective when sold. The second condition (as well as the first) has been established here, at least to a probability sufficient to defeat a motion for summary judgment. Normal people do not lock up their jars and cans lest something happen to damage these containers while no one is looking. The probability of such damage is too remote. It is not only too remote to make a rational person take measures to prevent it; it is too remote to defeat a products liability suit should a container prove dangerously defective.</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 xml:space="preserve">Of course, unlikely as it may seem that the defect was introduced into the jar after Karen Godfrey bought it if the plaintiff’s testimony is believed, other evidence might make their testimony unworthy of belief—might even show, contrary to all the probabilities, that the knife or some mysterious night visitor caused the defect after all. The fragments of glass into which the jar shattered were preserved and were examined by experts for both sides. </w:t>
      </w:r>
      <w:r w:rsidRPr="00627338">
        <w:rPr>
          <w:rFonts w:ascii="inherit" w:eastAsia="Times New Roman" w:hAnsi="inherit" w:cs="Times New Roman"/>
        </w:rPr>
        <w:lastRenderedPageBreak/>
        <w:t>The experts agreed that the jar must have contained a defect but they could not find the fracture that had precipitated the shattering of the jar and they could not figure out when the defect that caused the fracture that caused the collapse of the jar had come into being. The defendants’ experts could neither rule out, nor rule in, the possibility that the defect had been introduced at some stage of the manufacturing process. The plaintiff’s expert noticed what he thought was a preexisting crack in one of the fragments, and he speculated that a similar crack might have caused the fracture that shattered the jar. This, the district judge ruled, was not enough.</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But if the probability that the defect that caused the accident arose after Karen Godfrey bought the jar of Planters peanuts is very small—and on the present state of the record we are required to assume that it is—then the probability that the defect was introduced by one of the defendants is very high.</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 . . The strict-liability element in modern products liability law comes precisely from the fact that a seller subject to that law is liable for defects in his product even if those defects were introduced, without the slightest fault of his own for failing to discover them, at some anterior stage of production. . . . So the fact that KMart sold a defective jar of peanuts to Karen Godfrey would be conclusive of KMart’s liability, and since it is a large and solvent firm there would be no need for the plaintiff to look further for a tortfeasor. This point seems to have been more or less conceded by the defendants in the district court—the thrust of their defense was that the plaintiff had failed to show that the defect had been caused by any of them—though this leaves us mystified as to why the plaintiff bothered to name additional defendants.</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 . . Evidence of KMart’s care in handling peanut jars would be relevant only to whether the defect was introduced after sale; if it was introduced at any time before sale—if the jar was defective when KMart sold it—the source of the defect would be irrelevant to KMart’s liability. In exactly the same way, Planters’ liability would be unaffected by the fact, if it is a fact, that the defect was due to Brockway rather than to itself. To repeat an earlier and fundamental point, a seller who is subject to strict products liability is responsible for the consequences of selling a defective product even if the defect was introduced without any fault on his part by his supplier or by his supplier’s supplier.</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 . . Here we know to a virtual certainty (always assuming that the plaintiff’s evidence is believed, which is a matter for the jury) that the accident was not due to mishandling after purchase but to a defect that had been introduced earlier.</w:t>
      </w:r>
      <w:hyperlink r:id="rId47" w:anchor="P7000499191000000000000000002C6E" w:history="1">
        <w:r w:rsidRPr="00627338">
          <w:rPr>
            <w:rFonts w:ascii="inherit" w:eastAsia="Times New Roman" w:hAnsi="inherit" w:cs="Times New Roman"/>
            <w:b/>
            <w:bCs/>
            <w:color w:val="1E7AB9"/>
            <w:sz w:val="12"/>
            <w:szCs w:val="12"/>
            <w:u w:val="single"/>
            <w:bdr w:val="none" w:sz="0" w:space="0" w:color="auto" w:frame="1"/>
            <w:vertAlign w:val="superscript"/>
          </w:rPr>
          <w:t>*</w:t>
        </w:r>
      </w:hyperlink>
    </w:p>
    <w:p w:rsidR="00627338" w:rsidRPr="00627338" w:rsidRDefault="00627338" w:rsidP="00627338">
      <w:pPr>
        <w:textAlignment w:val="baseline"/>
        <w:rPr>
          <w:rFonts w:ascii="inherit" w:eastAsia="Times New Roman" w:hAnsi="inherit" w:cs="Times New Roman"/>
          <w:i/>
          <w:iCs/>
          <w:sz w:val="17"/>
          <w:szCs w:val="17"/>
        </w:rPr>
      </w:pPr>
      <w:r w:rsidRPr="00627338">
        <w:rPr>
          <w:rFonts w:ascii="inherit" w:eastAsia="Times New Roman" w:hAnsi="inherit" w:cs="Times New Roman"/>
          <w:i/>
          <w:iCs/>
          <w:sz w:val="17"/>
          <w:szCs w:val="17"/>
          <w:bdr w:val="none" w:sz="0" w:space="0" w:color="auto" w:frame="1"/>
        </w:rPr>
        <w:t>Reversed</w:t>
      </w:r>
      <w:r w:rsidRPr="00627338">
        <w:rPr>
          <w:rFonts w:ascii="inherit" w:eastAsia="Times New Roman" w:hAnsi="inherit" w:cs="Times New Roman"/>
          <w:i/>
          <w:iCs/>
          <w:sz w:val="17"/>
          <w:szCs w:val="17"/>
        </w:rPr>
        <w:t> and </w:t>
      </w:r>
      <w:r w:rsidRPr="00627338">
        <w:rPr>
          <w:rFonts w:ascii="inherit" w:eastAsia="Times New Roman" w:hAnsi="inherit" w:cs="Times New Roman"/>
          <w:i/>
          <w:iCs/>
          <w:sz w:val="17"/>
          <w:szCs w:val="17"/>
          <w:bdr w:val="none" w:sz="0" w:space="0" w:color="auto" w:frame="1"/>
        </w:rPr>
        <w:t>remanded</w:t>
      </w:r>
      <w:r w:rsidRPr="00627338">
        <w:rPr>
          <w:rFonts w:ascii="inherit" w:eastAsia="Times New Roman" w:hAnsi="inherit" w:cs="Times New Roman"/>
          <w:i/>
          <w:iCs/>
          <w:sz w:val="17"/>
          <w:szCs w:val="17"/>
        </w:rPr>
        <w:t> in favor of Plaintiff, Welge.</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When a plaintiff is seeking recovery based on a design defect, he or she is not impugning just one item, but an entire product line. If a product is held to be defectively designed in one case, a manufacturer or seller may recognize that this particular case may stimulate a huge number of additional lawsuits. Thus, defendants are very concerned about the outcome of these cases. Therefore, the availability of this type of action has a greater impact on encouraging manufacturers to produce safe products than does the availability of any other type of product liability action.</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lastRenderedPageBreak/>
        <w:t>For example, hundreds of claims, ranging from property damage to personal injury and wrongful death, have been brought in federal and state courts against Firestone and Ford for Firestone’s ATX, ATX II, and Wilderness AT tires. Plaintiffs argue that the tires have a design defect that causes the treads to prematurely separate, leading to tire blowouts. Firestone issued a recall for these tires in August 2000, but plaintiffs argue that the recall was not sufficient to warn customers about the tire defects. Furthermore, plaintiffs allege that Firestone had knowledge of the defects earlier but failed to disclose this knowledge. In an attempt to encourage efficiency, the federal cases have been consolidated to the Southern District Court in Indiana, at least for the purposes of discovery.</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Although all the states agree that manufacturers may not market defectively designed products, there is no uniform definition of a defective design. Two tests have evolved to determine whether a product is so defective as to be unreasonably dangerous. The first test, set out in the </w:t>
      </w:r>
      <w:r w:rsidRPr="00627338">
        <w:rPr>
          <w:rFonts w:ascii="inherit" w:eastAsia="Times New Roman" w:hAnsi="inherit" w:cs="Times New Roman"/>
          <w:i/>
          <w:iCs/>
          <w:bdr w:val="none" w:sz="0" w:space="0" w:color="auto" w:frame="1"/>
        </w:rPr>
        <w:t>Restatement (Second) of Torts,</w:t>
      </w:r>
      <w:r w:rsidRPr="00627338">
        <w:rPr>
          <w:rFonts w:ascii="inherit" w:eastAsia="Times New Roman" w:hAnsi="inherit" w:cs="Times New Roman"/>
        </w:rPr>
        <w:t> is the consumer-expectations test. This test asks the question: Did the product meet the standards that would be expected by a reasonable consumer? Such a test relies on the experiences and expectations of the ordinary consumer and, thus, is not answered by the use of expert testimony about the merits of the design.</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The second is the feasible alternatives test, sometimes referred to as the </w:t>
      </w:r>
      <w:r w:rsidRPr="00627338">
        <w:rPr>
          <w:rFonts w:ascii="inherit" w:eastAsia="Times New Roman" w:hAnsi="inherit" w:cs="Times New Roman"/>
          <w:i/>
          <w:iCs/>
          <w:bdr w:val="none" w:sz="0" w:space="0" w:color="auto" w:frame="1"/>
        </w:rPr>
        <w:t>risk- utility test</w:t>
      </w:r>
      <w:r w:rsidRPr="00627338">
        <w:rPr>
          <w:rFonts w:ascii="inherit" w:eastAsia="Times New Roman" w:hAnsi="inherit" w:cs="Times New Roman"/>
        </w:rPr>
        <w:t>. Courts applying this test typically look at the following seven factors:</w:t>
      </w:r>
    </w:p>
    <w:p w:rsidR="00627338" w:rsidRPr="00627338" w:rsidRDefault="00627338" w:rsidP="00627338">
      <w:pPr>
        <w:numPr>
          <w:ilvl w:val="0"/>
          <w:numId w:val="6"/>
        </w:numPr>
        <w:textAlignment w:val="baseline"/>
        <w:rPr>
          <w:rFonts w:ascii="inherit" w:eastAsia="Times New Roman" w:hAnsi="inherit" w:cs="Times New Roman"/>
        </w:rPr>
      </w:pPr>
      <w:r w:rsidRPr="00627338">
        <w:rPr>
          <w:rFonts w:ascii="inherit" w:eastAsia="Times New Roman" w:hAnsi="inherit" w:cs="Times New Roman"/>
        </w:rPr>
        <w:t>The usefulness and desirability of the product—its utility to the user and to the public as a whole.</w:t>
      </w:r>
    </w:p>
    <w:p w:rsidR="00627338" w:rsidRPr="00627338" w:rsidRDefault="00627338" w:rsidP="00627338">
      <w:pPr>
        <w:numPr>
          <w:ilvl w:val="0"/>
          <w:numId w:val="6"/>
        </w:numPr>
        <w:textAlignment w:val="baseline"/>
        <w:rPr>
          <w:rFonts w:ascii="inherit" w:eastAsia="Times New Roman" w:hAnsi="inherit" w:cs="Times New Roman"/>
        </w:rPr>
      </w:pPr>
      <w:r w:rsidRPr="00627338">
        <w:rPr>
          <w:rFonts w:ascii="inherit" w:eastAsia="Times New Roman" w:hAnsi="inherit" w:cs="Times New Roman"/>
        </w:rPr>
        <w:t>The safety aspects of the product—the likelihood that it will cause injury, and the probable seriousness of the injury.</w:t>
      </w:r>
    </w:p>
    <w:p w:rsidR="00627338" w:rsidRPr="00627338" w:rsidRDefault="00627338" w:rsidP="00627338">
      <w:pPr>
        <w:numPr>
          <w:ilvl w:val="0"/>
          <w:numId w:val="6"/>
        </w:numPr>
        <w:textAlignment w:val="baseline"/>
        <w:rPr>
          <w:rFonts w:ascii="inherit" w:eastAsia="Times New Roman" w:hAnsi="inherit" w:cs="Times New Roman"/>
        </w:rPr>
      </w:pPr>
      <w:r w:rsidRPr="00627338">
        <w:rPr>
          <w:rFonts w:ascii="inherit" w:eastAsia="Times New Roman" w:hAnsi="inherit" w:cs="Times New Roman"/>
        </w:rPr>
        <w:t>The availability of a substitute product which would meet the same need and not be as unsafe.</w:t>
      </w:r>
    </w:p>
    <w:p w:rsidR="00627338" w:rsidRPr="00627338" w:rsidRDefault="00627338" w:rsidP="00627338">
      <w:pPr>
        <w:numPr>
          <w:ilvl w:val="0"/>
          <w:numId w:val="6"/>
        </w:numPr>
        <w:textAlignment w:val="baseline"/>
        <w:rPr>
          <w:rFonts w:ascii="inherit" w:eastAsia="Times New Roman" w:hAnsi="inherit" w:cs="Times New Roman"/>
        </w:rPr>
      </w:pPr>
      <w:r w:rsidRPr="00627338">
        <w:rPr>
          <w:rFonts w:ascii="inherit" w:eastAsia="Times New Roman" w:hAnsi="inherit" w:cs="Times New Roman"/>
        </w:rPr>
        <w:t>The manufacturer’s ability to eliminate the unsafe character of the product without impairing its usefulness or making it too expensive to maintain its utility.</w:t>
      </w:r>
    </w:p>
    <w:p w:rsidR="00627338" w:rsidRPr="00627338" w:rsidRDefault="00627338" w:rsidP="00627338">
      <w:pPr>
        <w:numPr>
          <w:ilvl w:val="0"/>
          <w:numId w:val="6"/>
        </w:numPr>
        <w:textAlignment w:val="baseline"/>
        <w:rPr>
          <w:rFonts w:ascii="inherit" w:eastAsia="Times New Roman" w:hAnsi="inherit" w:cs="Times New Roman"/>
        </w:rPr>
      </w:pPr>
      <w:r w:rsidRPr="00627338">
        <w:rPr>
          <w:rFonts w:ascii="inherit" w:eastAsia="Times New Roman" w:hAnsi="inherit" w:cs="Times New Roman"/>
        </w:rPr>
        <w:t>The user’s ability to avoid danger by the exercise of care in the use of the product.</w:t>
      </w:r>
    </w:p>
    <w:p w:rsidR="00627338" w:rsidRPr="00627338" w:rsidRDefault="00627338" w:rsidP="00627338">
      <w:pPr>
        <w:numPr>
          <w:ilvl w:val="0"/>
          <w:numId w:val="6"/>
        </w:numPr>
        <w:textAlignment w:val="baseline"/>
        <w:rPr>
          <w:rFonts w:ascii="inherit" w:eastAsia="Times New Roman" w:hAnsi="inherit" w:cs="Times New Roman"/>
        </w:rPr>
      </w:pPr>
      <w:r w:rsidRPr="00627338">
        <w:rPr>
          <w:rFonts w:ascii="inherit" w:eastAsia="Times New Roman" w:hAnsi="inherit" w:cs="Times New Roman"/>
        </w:rPr>
        <w:t>The user’s anticipated awareness of the dangers inherent in the product and their avoidability, because of general public knowledge of the obvious condition of the product, or of the existence of suitable warnings or instructions.</w:t>
      </w:r>
    </w:p>
    <w:p w:rsidR="00627338" w:rsidRPr="00627338" w:rsidRDefault="00627338" w:rsidP="00627338">
      <w:pPr>
        <w:numPr>
          <w:ilvl w:val="0"/>
          <w:numId w:val="6"/>
        </w:numPr>
        <w:textAlignment w:val="baseline"/>
        <w:rPr>
          <w:rFonts w:ascii="inherit" w:eastAsia="Times New Roman" w:hAnsi="inherit" w:cs="Times New Roman"/>
        </w:rPr>
      </w:pPr>
      <w:r w:rsidRPr="00627338">
        <w:rPr>
          <w:rFonts w:ascii="inherit" w:eastAsia="Times New Roman" w:hAnsi="inherit" w:cs="Times New Roman"/>
        </w:rPr>
        <w:t>The feasibility, on the part of the manufacturer, of spreading the loss by setting the price of the product or carrying liability insurance.</w:t>
      </w:r>
    </w:p>
    <w:p w:rsidR="00627338" w:rsidRPr="00627338" w:rsidRDefault="00627338" w:rsidP="00627338">
      <w:pPr>
        <w:spacing w:before="228" w:after="114"/>
        <w:textAlignment w:val="baseline"/>
        <w:outlineLvl w:val="0"/>
        <w:rPr>
          <w:rFonts w:ascii="inherit" w:eastAsia="Times New Roman" w:hAnsi="inherit" w:cs="Times New Roman"/>
          <w:i/>
          <w:iCs/>
          <w:color w:val="585858"/>
          <w:kern w:val="36"/>
          <w:sz w:val="38"/>
          <w:szCs w:val="38"/>
        </w:rPr>
      </w:pPr>
      <w:r w:rsidRPr="00627338">
        <w:rPr>
          <w:rFonts w:ascii="inherit" w:eastAsia="Times New Roman" w:hAnsi="inherit" w:cs="Times New Roman"/>
          <w:i/>
          <w:iCs/>
          <w:color w:val="585858"/>
          <w:kern w:val="36"/>
          <w:sz w:val="38"/>
          <w:szCs w:val="38"/>
        </w:rPr>
        <w:t>Impact of the Restatement (Third) of Torts</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 </w:t>
      </w:r>
      <w:r w:rsidRPr="00627338">
        <w:rPr>
          <w:rFonts w:ascii="inherit" w:eastAsia="Times New Roman" w:hAnsi="inherit" w:cs="Times New Roman"/>
        </w:rPr>
        <w:t>Even though elements of Section 402A of the </w:t>
      </w:r>
      <w:r w:rsidRPr="00627338">
        <w:rPr>
          <w:rFonts w:ascii="inherit" w:eastAsia="Times New Roman" w:hAnsi="inherit" w:cs="Times New Roman"/>
          <w:i/>
          <w:iCs/>
          <w:bdr w:val="none" w:sz="0" w:space="0" w:color="auto" w:frame="1"/>
        </w:rPr>
        <w:t>Restatement (Second) of Torts</w:t>
      </w:r>
      <w:r w:rsidRPr="00627338">
        <w:rPr>
          <w:rFonts w:ascii="inherit" w:eastAsia="Times New Roman" w:hAnsi="inherit" w:cs="Times New Roman"/>
        </w:rPr>
        <w:t> have come to be adopted in all states, and it is generally considered to be the foundation of modern product liability law, a lot of dissatisfaction has centered on this provision. That dissatisfaction resulted in what may be the biggest change in product liability law since the passage of Section 402A: the adoption, on May 20, 1997, of the American Law Institute’s </w:t>
      </w:r>
      <w:r w:rsidRPr="00627338">
        <w:rPr>
          <w:rFonts w:ascii="inherit" w:eastAsia="Times New Roman" w:hAnsi="inherit" w:cs="Times New Roman"/>
          <w:i/>
          <w:iCs/>
          <w:bdr w:val="none" w:sz="0" w:space="0" w:color="auto" w:frame="1"/>
        </w:rPr>
        <w:t>Restatement (Third) of Torts: Product Liability</w:t>
      </w:r>
      <w:r w:rsidRPr="00627338">
        <w:rPr>
          <w:rFonts w:ascii="inherit" w:eastAsia="Times New Roman" w:hAnsi="inherit" w:cs="Times New Roman"/>
        </w:rPr>
        <w:t xml:space="preserve">, which is intended to replace Section 402A. Under the Restatement (Third), “one engaged in the business of selling or otherwise distributing products who sells or distributes a defective product is subject to </w:t>
      </w:r>
      <w:r w:rsidRPr="00627338">
        <w:rPr>
          <w:rFonts w:ascii="inherit" w:eastAsia="Times New Roman" w:hAnsi="inherit" w:cs="Times New Roman"/>
        </w:rPr>
        <w:lastRenderedPageBreak/>
        <w:t>liability for harm to persons or property caused by the defect.” The seller’s liability, however, is determined by a different standard, depending on which type of defect is involved: (1) a manufacturing defect, (2) a design defect, or (3) a defective warning.</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When the defect is one in the manufacture, liability is strict. A </w:t>
      </w:r>
      <w:r w:rsidRPr="00627338">
        <w:rPr>
          <w:rFonts w:ascii="inherit" w:eastAsia="Times New Roman" w:hAnsi="inherit" w:cs="Times New Roman"/>
          <w:i/>
          <w:iCs/>
          <w:bdr w:val="none" w:sz="0" w:space="0" w:color="auto" w:frame="1"/>
        </w:rPr>
        <w:t>manufacturing defect</w:t>
      </w:r>
      <w:r w:rsidRPr="00627338">
        <w:rPr>
          <w:rFonts w:ascii="inherit" w:eastAsia="Times New Roman" w:hAnsi="inherit" w:cs="Times New Roman"/>
        </w:rPr>
        <w:t> is said to exist when “the product departs from its intended design.” The new rule imposes liability in such a case regardless of the care taken by the manufacturer.</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The Restatement (Third) adopts a reasonableness standard for design defects. It states that a product is defective in design when the foreseeable risks of the harm posed by the product could have been reduced or avoided by the adoption of a reasonable alternative design by the seller and the omission of the alternative design renders the product not reasonably safe.</w:t>
      </w:r>
      <w:hyperlink r:id="rId48" w:anchor="P7000499191000000000000000002C70" w:history="1">
        <w:r w:rsidRPr="00627338">
          <w:rPr>
            <w:rFonts w:ascii="inherit" w:eastAsia="Times New Roman" w:hAnsi="inherit" w:cs="Times New Roman"/>
            <w:b/>
            <w:bCs/>
            <w:color w:val="1E7AB9"/>
            <w:sz w:val="12"/>
            <w:szCs w:val="12"/>
            <w:u w:val="single"/>
            <w:bdr w:val="none" w:sz="0" w:space="0" w:color="auto" w:frame="1"/>
            <w:vertAlign w:val="superscript"/>
          </w:rPr>
          <w:t>*</w:t>
        </w:r>
      </w:hyperlink>
    </w:p>
    <w:p w:rsidR="00627338" w:rsidRPr="00627338" w:rsidRDefault="00627338" w:rsidP="00627338">
      <w:pPr>
        <w:spacing w:before="228" w:after="114"/>
        <w:textAlignment w:val="baseline"/>
        <w:outlineLvl w:val="0"/>
        <w:rPr>
          <w:rFonts w:ascii="inherit" w:eastAsia="Times New Roman" w:hAnsi="inherit" w:cs="Times New Roman"/>
          <w:i/>
          <w:iCs/>
          <w:color w:val="585858"/>
          <w:kern w:val="36"/>
          <w:sz w:val="38"/>
          <w:szCs w:val="38"/>
        </w:rPr>
      </w:pPr>
      <w:r w:rsidRPr="00627338">
        <w:rPr>
          <w:rFonts w:ascii="inherit" w:eastAsia="Times New Roman" w:hAnsi="inherit" w:cs="Times New Roman"/>
          <w:i/>
          <w:iCs/>
          <w:color w:val="585858"/>
          <w:kern w:val="36"/>
          <w:sz w:val="38"/>
          <w:szCs w:val="38"/>
        </w:rPr>
        <w:t>402A</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Under the Restatement (Third), anyone who sells or distributes a defective product can be held liable for damage to persons or property caused by the defect, but the extent of liability of the seller depends upon the type of defect that caused the harm.</w:t>
      </w:r>
    </w:p>
    <w:p w:rsidR="00627338" w:rsidRPr="00627338" w:rsidRDefault="00627338" w:rsidP="00627338">
      <w:pPr>
        <w:spacing w:line="428" w:lineRule="atLeast"/>
        <w:textAlignment w:val="baseline"/>
        <w:rPr>
          <w:rFonts w:ascii="inherit" w:eastAsia="Times New Roman" w:hAnsi="inherit" w:cs="Times New Roman"/>
          <w:sz w:val="21"/>
          <w:szCs w:val="21"/>
        </w:rPr>
      </w:pPr>
      <w:r w:rsidRPr="00627338">
        <w:rPr>
          <w:rFonts w:ascii="inherit" w:eastAsia="Times New Roman" w:hAnsi="inherit" w:cs="Times New Roman"/>
          <w:i/>
          <w:iCs/>
          <w:sz w:val="21"/>
          <w:szCs w:val="21"/>
          <w:bdr w:val="none" w:sz="0" w:space="0" w:color="auto" w:frame="1"/>
        </w:rPr>
        <w:t>When the defect is one in the manufacture, meaning that the product was not made the way it was designed to be made, liability is strict. The new rule imposes liability in such a case regardless of the care taken by the manufacturer.</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The Restatement (Third) adopts a reasonableness standard for design defects. It states that a product is defective in design when the foreseeable risks of the harm posed by the product could have been reduced or avoided by the adoption of a reasonable alternative design by the seller and the omission of the alternative design renders the product not reasonably safe. Basically, the courts are to apply a risk-utility test, determining whether the value of the product outweighs the risks imposed by it.</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If the product is defective because it does not contain an appropriate warning, the same reasonableness standard is imposed on the seller. If foreseeable risks could have been reduced by reasonable warnings or instructions by the seller, the failure to provide such information means that the seller can be liable because the product is unreasonably dangerous.</w:t>
      </w:r>
    </w:p>
    <w:p w:rsidR="00627338" w:rsidRPr="00627338" w:rsidRDefault="00627338" w:rsidP="00627338">
      <w:pPr>
        <w:spacing w:before="228" w:after="114"/>
        <w:textAlignment w:val="baseline"/>
        <w:outlineLvl w:val="0"/>
        <w:rPr>
          <w:rFonts w:ascii="inherit" w:eastAsia="Times New Roman" w:hAnsi="inherit" w:cs="Times New Roman"/>
          <w:i/>
          <w:iCs/>
          <w:color w:val="585858"/>
          <w:kern w:val="36"/>
          <w:sz w:val="38"/>
          <w:szCs w:val="38"/>
        </w:rPr>
      </w:pPr>
      <w:r w:rsidRPr="00627338">
        <w:rPr>
          <w:rFonts w:ascii="inherit" w:eastAsia="Times New Roman" w:hAnsi="inherit" w:cs="Times New Roman"/>
          <w:i/>
          <w:iCs/>
          <w:color w:val="585858"/>
          <w:kern w:val="36"/>
          <w:sz w:val="38"/>
          <w:szCs w:val="38"/>
        </w:rPr>
        <w:t>Defenses to a Strict Product Liability Action</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 </w:t>
      </w:r>
      <w:r w:rsidRPr="00627338">
        <w:rPr>
          <w:rFonts w:ascii="inherit" w:eastAsia="Times New Roman" w:hAnsi="inherit" w:cs="Times New Roman"/>
        </w:rPr>
        <w:t>Product misuse, discussed as a defense to a negligence-based action, is also available in a strict product liability case. Assumption of the risk is likewise sometimes raised as a defense in a strict liability action.</w:t>
      </w:r>
    </w:p>
    <w:p w:rsidR="00627338" w:rsidRPr="00627338" w:rsidRDefault="00627338" w:rsidP="00627338">
      <w:pPr>
        <w:textAlignment w:val="baseline"/>
        <w:rPr>
          <w:rFonts w:ascii="inherit" w:eastAsia="Times New Roman" w:hAnsi="inherit" w:cs="Times New Roman"/>
        </w:rPr>
      </w:pPr>
      <w:r w:rsidRPr="00627338">
        <w:rPr>
          <w:rFonts w:ascii="inherit" w:eastAsia="Times New Roman" w:hAnsi="inherit" w:cs="Times New Roman"/>
        </w:rPr>
        <w:t xml:space="preserve">Controversy, however, has arisen over whether the state-of-the-art defense should be allowed in cases in which the cause of action is based on strict liability. In most strict liability cases, courts have rejected the use of this defense, stating that the issue is not what </w:t>
      </w:r>
      <w:r w:rsidRPr="00627338">
        <w:rPr>
          <w:rFonts w:ascii="inherit" w:eastAsia="Times New Roman" w:hAnsi="inherit" w:cs="Times New Roman"/>
        </w:rPr>
        <w:lastRenderedPageBreak/>
        <w:t>the producers knew at the time the product was produced, but whether the product was defectively dangerous. In the 1984 case of </w:t>
      </w:r>
      <w:r w:rsidRPr="00627338">
        <w:rPr>
          <w:rFonts w:ascii="inherit" w:eastAsia="Times New Roman" w:hAnsi="inherit" w:cs="Times New Roman"/>
          <w:i/>
          <w:iCs/>
          <w:bdr w:val="none" w:sz="0" w:space="0" w:color="auto" w:frame="1"/>
        </w:rPr>
        <w:t>Elmore v. Owens Illinois, Inc.,</w:t>
      </w:r>
      <w:r w:rsidRPr="00627338">
        <w:rPr>
          <w:rFonts w:ascii="inherit" w:eastAsia="Times New Roman" w:hAnsi="inherit" w:cs="Times New Roman"/>
        </w:rPr>
        <w:t> a claim arose from the plaintiff’s contracting asbestosis. The plaintiff’s job required him to handle a product manufactured by the defendant that contained 15 percent asbestos. The Supreme Court of Missouri ruled that the state of the art of a product has no bearing on the outcome of a strict liability claim, because the issue is the defective condition of the product, not the manufacturer’s knowledge, negligence, or fault.</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The refusal of most courts to allow the state-of-the-art defense in strict liability cases makes sense if we consider the social policy reasons for imposing strict liability. One of the reasons for imposing strict liability is that the manufacturers or producers are best able to spread the cost of the risk; this risk-spreading function does not change with the availability of scientific knowledge.</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The argument against this position, however, is equally compelling to some. If the manufacturer has indeed done everything as safely and carefully as available technology allows, it seems unfair to impose liability on the defendant. After all, how else could it have manufactured the product?</w:t>
      </w:r>
    </w:p>
    <w:p w:rsidR="00627338" w:rsidRPr="00627338" w:rsidRDefault="00627338" w:rsidP="00627338">
      <w:pPr>
        <w:spacing w:before="285" w:after="190"/>
        <w:textAlignment w:val="baseline"/>
        <w:outlineLvl w:val="0"/>
        <w:rPr>
          <w:rFonts w:ascii="inherit" w:eastAsia="Times New Roman" w:hAnsi="inherit" w:cs="Times New Roman"/>
          <w:color w:val="585858"/>
          <w:kern w:val="36"/>
          <w:sz w:val="45"/>
          <w:szCs w:val="45"/>
        </w:rPr>
      </w:pPr>
      <w:r w:rsidRPr="00627338">
        <w:rPr>
          <w:rFonts w:ascii="inherit" w:eastAsia="Times New Roman" w:hAnsi="inherit" w:cs="Times New Roman"/>
          <w:color w:val="585858"/>
          <w:kern w:val="36"/>
          <w:sz w:val="45"/>
          <w:szCs w:val="45"/>
        </w:rPr>
        <w:t>Liability to Bystanders</w:t>
      </w:r>
    </w:p>
    <w:p w:rsidR="00627338" w:rsidRPr="00627338" w:rsidRDefault="00627338" w:rsidP="00627338">
      <w:pPr>
        <w:spacing w:after="360"/>
        <w:textAlignment w:val="baseline"/>
        <w:rPr>
          <w:rFonts w:ascii="inherit" w:eastAsia="Times New Roman" w:hAnsi="inherit" w:cs="Times New Roman"/>
        </w:rPr>
      </w:pPr>
      <w:r w:rsidRPr="00627338">
        <w:rPr>
          <w:rFonts w:ascii="inherit" w:eastAsia="Times New Roman" w:hAnsi="inherit" w:cs="Times New Roman"/>
        </w:rPr>
        <w:t>Sometimes the person injured by the defective product is not a purchaser, nor even an owner, of the product. The question arises as to whether strict product liability can be used by someone other than the owner or user of the product. On the grounds that the bystander is in even greater need of protection from defective products that are dangerous, and because he or she can do less to protect himself or herself from them, many courts have extended liability to foreseeable bystanders.</w:t>
      </w:r>
    </w:p>
    <w:p w:rsidR="00CC3A64" w:rsidRDefault="00627338">
      <w:bookmarkStart w:id="0" w:name="_GoBack"/>
      <w:bookmarkEnd w:id="0"/>
    </w:p>
    <w:sectPr w:rsidR="00CC3A64" w:rsidSect="00FB5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D44F4"/>
    <w:multiLevelType w:val="multilevel"/>
    <w:tmpl w:val="3482B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1B6107"/>
    <w:multiLevelType w:val="multilevel"/>
    <w:tmpl w:val="4EDA8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D04156"/>
    <w:multiLevelType w:val="multilevel"/>
    <w:tmpl w:val="86CA52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F01020"/>
    <w:multiLevelType w:val="multilevel"/>
    <w:tmpl w:val="93D26E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AE5E8C"/>
    <w:multiLevelType w:val="multilevel"/>
    <w:tmpl w:val="D5A49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E240AD"/>
    <w:multiLevelType w:val="multilevel"/>
    <w:tmpl w:val="E9843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338"/>
    <w:rsid w:val="00600AA5"/>
    <w:rsid w:val="00627338"/>
    <w:rsid w:val="00FB5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B796B1"/>
  <w14:defaultImageDpi w14:val="32767"/>
  <w15:chartTrackingRefBased/>
  <w15:docId w15:val="{C60CF68A-76D7-0A4A-A353-8DFDE68BE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627338"/>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338"/>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27338"/>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627338"/>
  </w:style>
  <w:style w:type="character" w:styleId="Hyperlink">
    <w:name w:val="Hyperlink"/>
    <w:basedOn w:val="DefaultParagraphFont"/>
    <w:uiPriority w:val="99"/>
    <w:semiHidden/>
    <w:unhideWhenUsed/>
    <w:rsid w:val="00627338"/>
    <w:rPr>
      <w:color w:val="0000FF"/>
      <w:u w:val="single"/>
    </w:rPr>
  </w:style>
  <w:style w:type="character" w:customStyle="1" w:styleId="label">
    <w:name w:val="label"/>
    <w:basedOn w:val="DefaultParagraphFont"/>
    <w:rsid w:val="00627338"/>
  </w:style>
  <w:style w:type="character" w:customStyle="1" w:styleId="number">
    <w:name w:val="number"/>
    <w:basedOn w:val="DefaultParagraphFont"/>
    <w:rsid w:val="00627338"/>
  </w:style>
  <w:style w:type="character" w:styleId="HTMLCite">
    <w:name w:val="HTML Cite"/>
    <w:basedOn w:val="DefaultParagraphFont"/>
    <w:uiPriority w:val="99"/>
    <w:semiHidden/>
    <w:unhideWhenUsed/>
    <w:rsid w:val="00627338"/>
    <w:rPr>
      <w:i/>
      <w:iCs/>
    </w:rPr>
  </w:style>
  <w:style w:type="character" w:styleId="HTMLDefinition">
    <w:name w:val="HTML Definition"/>
    <w:basedOn w:val="DefaultParagraphFont"/>
    <w:uiPriority w:val="99"/>
    <w:semiHidden/>
    <w:unhideWhenUsed/>
    <w:rsid w:val="00627338"/>
    <w:rPr>
      <w:i/>
      <w:iCs/>
    </w:rPr>
  </w:style>
  <w:style w:type="paragraph" w:customStyle="1" w:styleId="subtitle">
    <w:name w:val="subtitle"/>
    <w:basedOn w:val="Normal"/>
    <w:rsid w:val="00627338"/>
    <w:pPr>
      <w:spacing w:before="100" w:beforeAutospacing="1" w:after="100" w:afterAutospacing="1"/>
    </w:pPr>
    <w:rPr>
      <w:rFonts w:ascii="Times New Roman" w:eastAsia="Times New Roman" w:hAnsi="Times New Roman" w:cs="Times New Roman"/>
    </w:rPr>
  </w:style>
  <w:style w:type="paragraph" w:customStyle="1" w:styleId="continued">
    <w:name w:val="continued"/>
    <w:basedOn w:val="Normal"/>
    <w:rsid w:val="00627338"/>
    <w:pPr>
      <w:spacing w:before="100" w:beforeAutospacing="1" w:after="100" w:afterAutospacing="1"/>
    </w:pPr>
    <w:rPr>
      <w:rFonts w:ascii="Times New Roman" w:eastAsia="Times New Roman" w:hAnsi="Times New Roman" w:cs="Times New Roman"/>
    </w:rPr>
  </w:style>
  <w:style w:type="character" w:customStyle="1" w:styleId="leadin">
    <w:name w:val="leadin"/>
    <w:basedOn w:val="DefaultParagraphFont"/>
    <w:rsid w:val="00627338"/>
  </w:style>
  <w:style w:type="character" w:customStyle="1" w:styleId="url-obsolete">
    <w:name w:val="url-obsolete"/>
    <w:basedOn w:val="DefaultParagraphFont"/>
    <w:rsid w:val="006273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111684">
      <w:bodyDiv w:val="1"/>
      <w:marLeft w:val="0"/>
      <w:marRight w:val="0"/>
      <w:marTop w:val="0"/>
      <w:marBottom w:val="0"/>
      <w:divBdr>
        <w:top w:val="none" w:sz="0" w:space="0" w:color="auto"/>
        <w:left w:val="none" w:sz="0" w:space="0" w:color="auto"/>
        <w:bottom w:val="none" w:sz="0" w:space="0" w:color="auto"/>
        <w:right w:val="none" w:sz="0" w:space="0" w:color="auto"/>
      </w:divBdr>
      <w:divsChild>
        <w:div w:id="597641457">
          <w:marLeft w:val="0"/>
          <w:marRight w:val="0"/>
          <w:marTop w:val="0"/>
          <w:marBottom w:val="0"/>
          <w:divBdr>
            <w:top w:val="none" w:sz="0" w:space="0" w:color="auto"/>
            <w:left w:val="none" w:sz="0" w:space="0" w:color="auto"/>
            <w:bottom w:val="none" w:sz="0" w:space="0" w:color="auto"/>
            <w:right w:val="none" w:sz="0" w:space="0" w:color="auto"/>
          </w:divBdr>
        </w:div>
        <w:div w:id="1488550635">
          <w:marLeft w:val="0"/>
          <w:marRight w:val="0"/>
          <w:marTop w:val="0"/>
          <w:marBottom w:val="0"/>
          <w:divBdr>
            <w:top w:val="none" w:sz="0" w:space="0" w:color="auto"/>
            <w:left w:val="none" w:sz="0" w:space="0" w:color="auto"/>
            <w:bottom w:val="none" w:sz="0" w:space="0" w:color="auto"/>
            <w:right w:val="none" w:sz="0" w:space="0" w:color="auto"/>
          </w:divBdr>
        </w:div>
        <w:div w:id="1927839431">
          <w:blockQuote w:val="1"/>
          <w:marLeft w:val="0"/>
          <w:marRight w:val="0"/>
          <w:marTop w:val="0"/>
          <w:marBottom w:val="402"/>
          <w:divBdr>
            <w:top w:val="single" w:sz="2" w:space="0" w:color="CC6600"/>
            <w:left w:val="single" w:sz="6" w:space="18" w:color="CC6600"/>
            <w:bottom w:val="single" w:sz="2" w:space="0" w:color="CC6600"/>
            <w:right w:val="single" w:sz="2" w:space="0" w:color="CC6600"/>
          </w:divBdr>
        </w:div>
        <w:div w:id="1158349300">
          <w:marLeft w:val="0"/>
          <w:marRight w:val="0"/>
          <w:marTop w:val="0"/>
          <w:marBottom w:val="0"/>
          <w:divBdr>
            <w:top w:val="none" w:sz="0" w:space="0" w:color="auto"/>
            <w:left w:val="none" w:sz="0" w:space="0" w:color="auto"/>
            <w:bottom w:val="none" w:sz="0" w:space="0" w:color="auto"/>
            <w:right w:val="none" w:sz="0" w:space="0" w:color="auto"/>
          </w:divBdr>
        </w:div>
        <w:div w:id="128477258">
          <w:marLeft w:val="0"/>
          <w:marRight w:val="0"/>
          <w:marTop w:val="0"/>
          <w:marBottom w:val="0"/>
          <w:divBdr>
            <w:top w:val="none" w:sz="0" w:space="0" w:color="auto"/>
            <w:left w:val="none" w:sz="0" w:space="0" w:color="auto"/>
            <w:bottom w:val="none" w:sz="0" w:space="0" w:color="auto"/>
            <w:right w:val="none" w:sz="0" w:space="0" w:color="auto"/>
          </w:divBdr>
        </w:div>
        <w:div w:id="733699451">
          <w:marLeft w:val="0"/>
          <w:marRight w:val="0"/>
          <w:marTop w:val="0"/>
          <w:marBottom w:val="0"/>
          <w:divBdr>
            <w:top w:val="none" w:sz="0" w:space="0" w:color="auto"/>
            <w:left w:val="none" w:sz="0" w:space="0" w:color="auto"/>
            <w:bottom w:val="none" w:sz="0" w:space="0" w:color="auto"/>
            <w:right w:val="none" w:sz="0" w:space="0" w:color="auto"/>
          </w:divBdr>
        </w:div>
        <w:div w:id="1333290790">
          <w:marLeft w:val="0"/>
          <w:marRight w:val="0"/>
          <w:marTop w:val="0"/>
          <w:marBottom w:val="0"/>
          <w:divBdr>
            <w:top w:val="none" w:sz="0" w:space="0" w:color="auto"/>
            <w:left w:val="none" w:sz="0" w:space="0" w:color="auto"/>
            <w:bottom w:val="none" w:sz="0" w:space="0" w:color="auto"/>
            <w:right w:val="none" w:sz="0" w:space="0" w:color="auto"/>
          </w:divBdr>
        </w:div>
        <w:div w:id="2130784282">
          <w:marLeft w:val="0"/>
          <w:marRight w:val="0"/>
          <w:marTop w:val="0"/>
          <w:marBottom w:val="0"/>
          <w:divBdr>
            <w:top w:val="none" w:sz="0" w:space="0" w:color="auto"/>
            <w:left w:val="none" w:sz="0" w:space="0" w:color="auto"/>
            <w:bottom w:val="none" w:sz="0" w:space="0" w:color="auto"/>
            <w:right w:val="none" w:sz="0" w:space="0" w:color="auto"/>
          </w:divBdr>
        </w:div>
        <w:div w:id="1692871854">
          <w:blockQuote w:val="1"/>
          <w:marLeft w:val="0"/>
          <w:marRight w:val="0"/>
          <w:marTop w:val="0"/>
          <w:marBottom w:val="402"/>
          <w:divBdr>
            <w:top w:val="single" w:sz="2" w:space="0" w:color="CC6600"/>
            <w:left w:val="single" w:sz="6" w:space="18" w:color="CC6600"/>
            <w:bottom w:val="single" w:sz="2" w:space="0" w:color="CC6600"/>
            <w:right w:val="single" w:sz="2" w:space="0" w:color="CC6600"/>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igsaw.vitalsource.com/books/9781323829264/epub/OPS/xhtml/fileP7000499191000000000000000002BAD.xhtml" TargetMode="External"/><Relationship Id="rId18" Type="http://schemas.openxmlformats.org/officeDocument/2006/relationships/hyperlink" Target="https://jigsaw.vitalsource.com/books/9781323829264/epub/OPS/xhtml/fileP7000499191000000000000000002A17.xhtml" TargetMode="External"/><Relationship Id="rId26" Type="http://schemas.openxmlformats.org/officeDocument/2006/relationships/hyperlink" Target="https://jigsaw.vitalsource.com/books/9781323829264/epub/OPS/xhtml/fileP7000499191000000000000000005899.xhtml" TargetMode="External"/><Relationship Id="rId39" Type="http://schemas.openxmlformats.org/officeDocument/2006/relationships/hyperlink" Target="https://jigsaw.vitalsource.com/books/9781323829264/epub/OPS/xhtml/fileP7000499191000000000000000002A17.xhtml" TargetMode="External"/><Relationship Id="rId21" Type="http://schemas.openxmlformats.org/officeDocument/2006/relationships/hyperlink" Target="https://jigsaw.vitalsource.com/books/9781323829264/epub/OPS/xhtml/fileP7000499191000000000000000002A17.xhtml" TargetMode="External"/><Relationship Id="rId34" Type="http://schemas.openxmlformats.org/officeDocument/2006/relationships/hyperlink" Target="https://jigsaw.vitalsource.com/books/9781323829264/epub/OPS/xhtml/fileP7000499191000000000000000005899.xhtml" TargetMode="External"/><Relationship Id="rId42" Type="http://schemas.openxmlformats.org/officeDocument/2006/relationships/hyperlink" Target="https://jigsaw.vitalsource.com/books/9781323829264/epub/OPS/xhtml/fileP7000499191000000000000000002A17.xhtml" TargetMode="External"/><Relationship Id="rId47" Type="http://schemas.openxmlformats.org/officeDocument/2006/relationships/hyperlink" Target="https://jigsaw.vitalsource.com/books/9781323829264/epub/OPS/xhtml/fileP7000499191000000000000000002BAD.xhtml" TargetMode="External"/><Relationship Id="rId50" Type="http://schemas.openxmlformats.org/officeDocument/2006/relationships/theme" Target="theme/theme1.xml"/><Relationship Id="rId7" Type="http://schemas.openxmlformats.org/officeDocument/2006/relationships/hyperlink" Target="https://jigsaw.vitalsource.com/books/9781323829264/epub/OPS/xhtml/fileP7000499191000000000000000002A17.xhtml" TargetMode="External"/><Relationship Id="rId2" Type="http://schemas.openxmlformats.org/officeDocument/2006/relationships/styles" Target="styles.xml"/><Relationship Id="rId16" Type="http://schemas.openxmlformats.org/officeDocument/2006/relationships/hyperlink" Target="https://jigsaw.vitalsource.com/books/9781323829264/epub/OPS/xhtml/fileP7000499191000000000000000002A17.xhtml" TargetMode="External"/><Relationship Id="rId29" Type="http://schemas.openxmlformats.org/officeDocument/2006/relationships/hyperlink" Target="https://jigsaw.vitalsource.com/books/9781323829264/epub/OPS/xhtml/fileP7000499191000000000000000005899.xhtml" TargetMode="External"/><Relationship Id="rId11" Type="http://schemas.openxmlformats.org/officeDocument/2006/relationships/image" Target="media/image1.png"/><Relationship Id="rId24" Type="http://schemas.openxmlformats.org/officeDocument/2006/relationships/hyperlink" Target="https://jigsaw.vitalsource.com/books/9781323829264/epub/OPS/xhtml/fileP7000499191000000000000000005899.xhtml" TargetMode="External"/><Relationship Id="rId32" Type="http://schemas.openxmlformats.org/officeDocument/2006/relationships/hyperlink" Target="https://jigsaw.vitalsource.com/books/9781323829264/epub/OPS/xhtml/fileP7000499191000000000000000002A17.xhtml" TargetMode="External"/><Relationship Id="rId37" Type="http://schemas.openxmlformats.org/officeDocument/2006/relationships/hyperlink" Target="https://jigsaw.vitalsource.com/books/9781323829264/epub/OPS/xhtml/fileP7000499191000000000000000002BAD.xhtml" TargetMode="External"/><Relationship Id="rId40" Type="http://schemas.openxmlformats.org/officeDocument/2006/relationships/hyperlink" Target="https://jigsaw.vitalsource.com/books/9781323829264/epub/OPS/xhtml/fileP7000499191000000000000000002A17.xhtml" TargetMode="External"/><Relationship Id="rId45" Type="http://schemas.openxmlformats.org/officeDocument/2006/relationships/hyperlink" Target="https://jigsaw.vitalsource.com/books/9781323829264/epub/OPS/xhtml/fileP7000499191000000000000000002A17.xhtml" TargetMode="External"/><Relationship Id="rId5" Type="http://schemas.openxmlformats.org/officeDocument/2006/relationships/hyperlink" Target="https://jigsaw.vitalsource.com/books/9781323829264/epub/OPS/xhtml/fileP7000499191000000000000000002655.xhtml" TargetMode="External"/><Relationship Id="rId15" Type="http://schemas.openxmlformats.org/officeDocument/2006/relationships/hyperlink" Target="https://jigsaw.vitalsource.com/books/9781323829264/epub/OPS/xhtml/fileP7000499191000000000000000002A17.xhtml" TargetMode="External"/><Relationship Id="rId23" Type="http://schemas.openxmlformats.org/officeDocument/2006/relationships/hyperlink" Target="https://jigsaw.vitalsource.com/books/9781323829264/epub/OPS/xhtml/fileP7000499191000000000000000002655.xhtml" TargetMode="External"/><Relationship Id="rId28" Type="http://schemas.openxmlformats.org/officeDocument/2006/relationships/hyperlink" Target="https://jigsaw.vitalsource.com/books/9781323829264/epub/OPS/xhtml/fileP7000499191000000000000000002BAD.xhtml" TargetMode="External"/><Relationship Id="rId36" Type="http://schemas.openxmlformats.org/officeDocument/2006/relationships/hyperlink" Target="https://jigsaw.vitalsource.com/books/9781323829264/epub/OPS/xhtml/fileP7000499191000000000000000002A17.xhtml" TargetMode="External"/><Relationship Id="rId49" Type="http://schemas.openxmlformats.org/officeDocument/2006/relationships/fontTable" Target="fontTable.xml"/><Relationship Id="rId10" Type="http://schemas.openxmlformats.org/officeDocument/2006/relationships/hyperlink" Target="https://jigsaw.vitalsource.com/books/9781323829264/epub/OPS/xhtml/fileP7000499191000000000000000002A17.xhtml" TargetMode="External"/><Relationship Id="rId19" Type="http://schemas.openxmlformats.org/officeDocument/2006/relationships/hyperlink" Target="https://jigsaw.vitalsource.com/books/9781323829264/epub/OPS/xhtml/fileP7000499191000000000000000002A17.xhtml" TargetMode="External"/><Relationship Id="rId31" Type="http://schemas.openxmlformats.org/officeDocument/2006/relationships/hyperlink" Target="https://jigsaw.vitalsource.com/books/9781323829264/epub/OPS/xhtml/fileP7000499191000000000000000005899.xhtml" TargetMode="External"/><Relationship Id="rId44" Type="http://schemas.openxmlformats.org/officeDocument/2006/relationships/hyperlink" Target="https://jigsaw.vitalsource.com/books/9781323829264/epub/OPS/xhtml/fileP7000499191000000000000000002BAD.xhtml" TargetMode="External"/><Relationship Id="rId4" Type="http://schemas.openxmlformats.org/officeDocument/2006/relationships/webSettings" Target="webSettings.xml"/><Relationship Id="rId9" Type="http://schemas.openxmlformats.org/officeDocument/2006/relationships/hyperlink" Target="https://jigsaw.vitalsource.com/books/9781323829264/epub/OPS/xhtml/fileP7000499191000000000000000002A17.xhtml" TargetMode="External"/><Relationship Id="rId14" Type="http://schemas.openxmlformats.org/officeDocument/2006/relationships/hyperlink" Target="https://jigsaw.vitalsource.com/books/9781323829264/epub/OPS/xhtml/fileP7000499191000000000000000002A17.xhtml" TargetMode="External"/><Relationship Id="rId22" Type="http://schemas.openxmlformats.org/officeDocument/2006/relationships/hyperlink" Target="https://jigsaw.vitalsource.com/books/9781323829264/epub/OPS/xhtml/fileP7000499191000000000000000002655.xhtml" TargetMode="External"/><Relationship Id="rId27" Type="http://schemas.openxmlformats.org/officeDocument/2006/relationships/image" Target="media/image2.png"/><Relationship Id="rId30" Type="http://schemas.openxmlformats.org/officeDocument/2006/relationships/hyperlink" Target="https://jigsaw.vitalsource.com/books/9781323829264/epub/OPS/xhtml/fileP7000499191000000000000000005899.xhtml" TargetMode="External"/><Relationship Id="rId35" Type="http://schemas.openxmlformats.org/officeDocument/2006/relationships/hyperlink" Target="https://jigsaw.vitalsource.com/books/9781323829264/epub/OPS/xhtml/fileP7000499191000000000000000002A17.xhtml" TargetMode="External"/><Relationship Id="rId43" Type="http://schemas.openxmlformats.org/officeDocument/2006/relationships/hyperlink" Target="https://jigsaw.vitalsource.com/books/9781323829264/epub/OPS/xhtml/fileP7000499191000000000000000002A17.xhtml" TargetMode="External"/><Relationship Id="rId48" Type="http://schemas.openxmlformats.org/officeDocument/2006/relationships/hyperlink" Target="https://jigsaw.vitalsource.com/books/9781323829264/epub/OPS/xhtml/fileP7000499191000000000000000002BAD.xhtml" TargetMode="External"/><Relationship Id="rId8" Type="http://schemas.openxmlformats.org/officeDocument/2006/relationships/hyperlink" Target="https://jigsaw.vitalsource.com/books/9781323829264/epub/OPS/xhtml/fileP7000499191000000000000000002A17.xhtml" TargetMode="External"/><Relationship Id="rId3" Type="http://schemas.openxmlformats.org/officeDocument/2006/relationships/settings" Target="settings.xml"/><Relationship Id="rId12" Type="http://schemas.openxmlformats.org/officeDocument/2006/relationships/hyperlink" Target="https://jigsaw.vitalsource.com/books/9781323829264/epub/OPS/xhtml/fileP7000499191000000000000000002A17.xhtml" TargetMode="External"/><Relationship Id="rId17" Type="http://schemas.openxmlformats.org/officeDocument/2006/relationships/hyperlink" Target="https://jigsaw.vitalsource.com/books/9781323829264/epub/OPS/xhtml/fileP7000499191000000000000000002A17.xhtml" TargetMode="External"/><Relationship Id="rId25" Type="http://schemas.openxmlformats.org/officeDocument/2006/relationships/hyperlink" Target="https://jigsaw.vitalsource.com/books/9781323829264/epub/OPS/xhtml/fileP7000499191000000000000000005899.xhtml" TargetMode="External"/><Relationship Id="rId33" Type="http://schemas.openxmlformats.org/officeDocument/2006/relationships/image" Target="media/image3.png"/><Relationship Id="rId38" Type="http://schemas.openxmlformats.org/officeDocument/2006/relationships/hyperlink" Target="https://jigsaw.vitalsource.com/books/9781323829264/epub/OPS/xhtml/fileP7000499191000000000000000005899.xhtml" TargetMode="External"/><Relationship Id="rId46" Type="http://schemas.openxmlformats.org/officeDocument/2006/relationships/hyperlink" Target="https://jigsaw.vitalsource.com/books/9781323829264/epub/OPS/xhtml/fileP7000499191000000000000000002A17.xhtml" TargetMode="External"/><Relationship Id="rId20" Type="http://schemas.openxmlformats.org/officeDocument/2006/relationships/hyperlink" Target="https://jigsaw.vitalsource.com/books/9781323829264/epub/OPS/xhtml/fileP7000499191000000000000000002A17.xhtml" TargetMode="External"/><Relationship Id="rId41" Type="http://schemas.openxmlformats.org/officeDocument/2006/relationships/hyperlink" Target="https://jigsaw.vitalsource.com/books/9781323829264/epub/OPS/xhtml/fileP7000499191000000000000000005899.xhtml" TargetMode="External"/><Relationship Id="rId1" Type="http://schemas.openxmlformats.org/officeDocument/2006/relationships/numbering" Target="numbering.xml"/><Relationship Id="rId6" Type="http://schemas.openxmlformats.org/officeDocument/2006/relationships/hyperlink" Target="https://jigsaw.vitalsource.com/books/9781323829264/epub/OPS/xhtml/fileP7000499191000000000000000002A17.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12188</Words>
  <Characters>69477</Characters>
  <Application>Microsoft Office Word</Application>
  <DocSecurity>0</DocSecurity>
  <Lines>578</Lines>
  <Paragraphs>163</Paragraphs>
  <ScaleCrop>false</ScaleCrop>
  <Company/>
  <LinksUpToDate>false</LinksUpToDate>
  <CharactersWithSpaces>81502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Elundria Austin</dc:creator>
  <cp:keywords/>
  <dc:description/>
  <cp:lastModifiedBy>Elundria Austin</cp:lastModifiedBy>
  <cp:revision>1</cp:revision>
  <dcterms:created xsi:type="dcterms:W3CDTF">2019-07-27T17:02:00Z</dcterms:created>
  <dcterms:modified xsi:type="dcterms:W3CDTF">2019-07-27T17:03:00Z</dcterms:modified>
</cp:coreProperties>
</file>